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苏州市政府采购竞争性磋商文件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0"/>
        </w:rPr>
        <w:t xml:space="preserve">采购编号：</w:t>
      </w:r>
      <w:r>
        <w:rPr>
          <w:rFonts w:hint="eastAsia" w:ascii="宋体" w:hAnsi="宋体" w:cs="宋体"/>
          <w:b/>
          <w:color w:val="000000"/>
          <w:spacing w:val="-6"/>
          <w:sz w:val="30"/>
          <w:lang w:eastAsia="zh-CN"/>
        </w:rPr>
        <w:t xml:space="preserve">JSZC-320500-SZJJ-C2025-0053</w:t>
      </w:r>
      <w:r>
        <w:rPr>
          <w:rFonts w:ascii="宋体" w:hAnsi="宋体" w:eastAsia="宋体" w:cs="宋体"/>
          <w:b/>
          <w:color w:val="000000"/>
          <w:spacing w:val="-6"/>
          <w:sz w:val="30"/>
        </w:rPr>
        <w:t xml:space="preserve">号</w:t>
      </w:r>
      <w:r/>
    </w:p>
    <w:p>
      <w:pPr>
        <w:ind w:left="0" w:right="0" w:firstLine="0"/>
        <w:jc w:val="both"/>
        <w:spacing w:before="0" w:after="0" w:line="85" w:lineRule="atLeast"/>
        <w:tabs>
          <w:tab w:val="left" w:pos="170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0"/>
        </w:rPr>
        <w:t xml:space="preserve">采购内容：狮子林检票等一线服务外包项目</w:t>
      </w:r>
      <w:r/>
    </w:p>
    <w:p>
      <w:pPr>
        <w:ind w:left="0" w:right="0" w:firstLine="0"/>
        <w:jc w:val="both"/>
        <w:spacing w:before="0" w:after="0" w:line="85" w:lineRule="atLeast"/>
        <w:tabs>
          <w:tab w:val="left" w:pos="170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0"/>
        </w:rPr>
        <w:t xml:space="preserve">采购人：苏州市狮子林管理处</w:t>
      </w:r>
      <w:r/>
    </w:p>
    <w:p>
      <w:pPr>
        <w:ind w:left="0" w:right="0" w:firstLine="0"/>
        <w:jc w:val="both"/>
        <w:spacing w:before="0" w:after="0" w:line="85" w:lineRule="atLeast"/>
        <w:tabs>
          <w:tab w:val="left" w:pos="170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0"/>
        </w:rPr>
        <w:t xml:space="preserve">采购类别：服务类</w:t>
      </w:r>
      <w:bookmarkStart w:id="0" w:name="_GoBack"/>
      <w:r/>
      <w:bookmarkEnd w:id="0"/>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30"/>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4"/>
          <w:sz w:val="30"/>
        </w:rPr>
        <w:t xml:space="preserve">苏州骏捷建设管理咨询有限公司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二O二五年十二月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6"/>
          <w:sz w:val="24"/>
        </w:rPr>
        <w:t xml:space="preserve"> </w:t>
      </w:r>
      <w:r/>
    </w:p>
    <w:p>
      <w:pPr>
        <w:ind w:left="0" w:right="0" w:firstLine="0"/>
        <w:jc w:val="center"/>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tabs>
          <w:tab w:val="left" w:pos="315" w:leader="none"/>
          <w:tab w:val="left" w:pos="4153" w:leader="none"/>
        </w:tabs>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0" w:after="0"/>
        <w:tabs>
          <w:tab w:val="left" w:pos="315" w:leader="none"/>
          <w:tab w:val="left" w:pos="4153" w:leader="none"/>
        </w:tabs>
        <w:rPr>
          <w:rFonts w:ascii="宋体" w:hAnsi="宋体" w:eastAsia="宋体" w:cs="宋体"/>
          <w:b/>
          <w:bCs/>
          <w:color w:val="000000"/>
          <w:sz w:val="48"/>
          <w:szCs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highlight w:val="none"/>
        </w:rPr>
      </w:r>
      <w:r/>
    </w:p>
    <w:p>
      <w:pPr>
        <w:ind w:left="0" w:right="0" w:firstLine="0"/>
        <w:jc w:val="center"/>
        <w:spacing w:before="0" w:after="0"/>
        <w:tabs>
          <w:tab w:val="left" w:pos="315" w:leader="none"/>
          <w:tab w:val="left" w:pos="4153" w:leader="none"/>
        </w:tabs>
        <w:rPr>
          <w:rFonts w:ascii="宋体" w:hAnsi="宋体" w:eastAsia="宋体" w:cs="宋体"/>
          <w:b/>
          <w:bCs/>
          <w:color w:val="000000"/>
          <w:sz w:val="48"/>
          <w:szCs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highlight w:val="none"/>
        </w:rPr>
      </w:r>
      <w:r/>
    </w:p>
    <w:p>
      <w:pPr>
        <w:ind w:left="0" w:right="0" w:firstLine="0"/>
        <w:jc w:val="center"/>
        <w:spacing w:before="0" w:after="0"/>
        <w:tabs>
          <w:tab w:val="left" w:pos="315" w:leader="none"/>
          <w:tab w:val="left" w:pos="4153" w:leader="none"/>
        </w:tabs>
        <w:rPr>
          <w:rFonts w:ascii="宋体" w:hAnsi="宋体" w:eastAsia="宋体" w:cs="宋体"/>
          <w:b/>
          <w:bCs/>
          <w:color w:val="000000"/>
          <w:sz w:val="48"/>
          <w:szCs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48"/>
          <w:highlight w:val="none"/>
        </w:rPr>
      </w:r>
      <w:r/>
    </w:p>
    <w:p>
      <w:pPr>
        <w:ind w:left="0" w:right="0" w:firstLine="0"/>
        <w:jc w:val="center"/>
        <w:spacing w:before="0" w:after="0"/>
        <w:tabs>
          <w:tab w:val="left" w:pos="315" w:leader="none"/>
          <w:tab w:val="left" w:pos="4153" w:leader="none"/>
        </w:tabs>
        <w:rPr>
          <w:rFonts w:ascii="宋体" w:hAnsi="宋体" w:eastAsia="宋体" w:cs="宋体"/>
          <w:b/>
          <w:bCs/>
          <w:color w:val="000000"/>
          <w:sz w:val="48"/>
          <w:szCs w:val="4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目录</w:t>
      </w:r>
      <w:r/>
    </w:p>
    <w:p>
      <w:pPr>
        <w:ind w:left="0" w:right="0" w:firstLine="0"/>
        <w:jc w:val="center"/>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numPr>
          <w:ilvl w:val="0"/>
          <w:numId w:val="3"/>
        </w:numPr>
        <w:jc w:val="both"/>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竞争性磋商公告</w:t>
      </w:r>
      <w:r/>
    </w:p>
    <w:p>
      <w:pPr>
        <w:numPr>
          <w:ilvl w:val="0"/>
          <w:numId w:val="3"/>
        </w:numPr>
        <w:jc w:val="both"/>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采购需求</w:t>
      </w:r>
      <w:r/>
    </w:p>
    <w:p>
      <w:pPr>
        <w:numPr>
          <w:ilvl w:val="0"/>
          <w:numId w:val="3"/>
        </w:numPr>
        <w:jc w:val="both"/>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评审方法及标准</w:t>
      </w:r>
      <w:r/>
    </w:p>
    <w:p>
      <w:pPr>
        <w:numPr>
          <w:ilvl w:val="0"/>
          <w:numId w:val="3"/>
        </w:numPr>
        <w:jc w:val="both"/>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合同主要条款</w:t>
      </w:r>
      <w:r/>
    </w:p>
    <w:p>
      <w:pPr>
        <w:numPr>
          <w:ilvl w:val="0"/>
          <w:numId w:val="3"/>
        </w:numPr>
        <w:jc w:val="both"/>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附件格式</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spacing w:before="240" w:after="240"/>
        <w:rPr>
          <w:sz w:val="24"/>
          <w:szCs w:val="24"/>
        </w:rPr>
        <w:pBdr>
          <w:top w:val="none" w:color="000000" w:sz="0" w:space="0"/>
          <w:left w:val="none" w:color="000000" w:sz="0" w:space="0"/>
          <w:bottom w:val="none" w:color="000000" w:sz="0" w:space="0"/>
          <w:right w:val="none" w:color="000000" w:sz="0" w:space="0"/>
        </w:pBdr>
      </w:pPr>
      <w:r>
        <w:rPr>
          <w:sz w:val="24"/>
          <w:szCs w:val="24"/>
        </w:rPr>
      </w:r>
      <w:r/>
    </w:p>
    <w:p>
      <w:pPr>
        <w:numPr>
          <w:ilvl w:val="0"/>
          <w:numId w:val="4"/>
        </w:numPr>
        <w:jc w:val="center"/>
        <w:spacing w:before="0" w:after="0"/>
        <w:tabs>
          <w:tab w:val="left" w:pos="315" w:leader="none"/>
          <w:tab w:val="left" w:pos="72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竞争性磋商公告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狮子林检</w:t>
      </w:r>
      <w:r>
        <w:rPr>
          <w:rFonts w:ascii="宋体" w:hAnsi="宋体" w:eastAsia="宋体" w:cs="宋体"/>
          <w:color w:val="000000"/>
          <w:sz w:val="24"/>
          <w:highlight w:val="none"/>
          <w:u w:val="single"/>
        </w:rPr>
        <w:t xml:space="preserve">票等一线服务外包项目</w:t>
      </w:r>
      <w:r>
        <w:rPr>
          <w:rFonts w:ascii="宋体" w:hAnsi="宋体" w:eastAsia="宋体" w:cs="宋体"/>
          <w:color w:val="000000"/>
          <w:sz w:val="24"/>
          <w:highlight w:val="none"/>
        </w:rPr>
        <w:t xml:space="preserve">采购项目的潜在供应商应在</w:t>
      </w:r>
      <w:r>
        <w:rPr>
          <w:rFonts w:ascii="宋体" w:hAnsi="宋体" w:eastAsia="宋体" w:cs="宋体"/>
          <w:color w:val="000000"/>
          <w:sz w:val="24"/>
          <w:highlight w:val="none"/>
          <w:u w:val="single"/>
        </w:rPr>
        <w:t xml:space="preserve">苏州政府采购交易管理平台</w:t>
      </w:r>
      <w:r>
        <w:rPr>
          <w:rFonts w:ascii="宋体" w:hAnsi="宋体" w:eastAsia="宋体" w:cs="宋体"/>
          <w:color w:val="000000"/>
          <w:sz w:val="24"/>
          <w:highlight w:val="none"/>
        </w:rPr>
        <w:t xml:space="preserve">获取采购文件，并于</w:t>
      </w:r>
      <w:r>
        <w:rPr>
          <w:rFonts w:ascii="宋体" w:hAnsi="宋体" w:eastAsia="宋体" w:cs="宋体"/>
          <w:color w:val="000000"/>
          <w:sz w:val="24"/>
          <w:highlight w:val="none"/>
          <w:u w:val="single"/>
        </w:rPr>
        <w:t xml:space="preserve">2026年1</w:t>
      </w:r>
      <w:r>
        <w:rPr>
          <w:rFonts w:ascii="宋体" w:hAnsi="宋体" w:eastAsia="宋体" w:cs="宋体"/>
          <w:color w:val="000000"/>
          <w:sz w:val="24"/>
          <w:highlight w:val="none"/>
          <w:u w:val="single"/>
        </w:rPr>
        <w:t xml:space="preserve">月4</w:t>
      </w:r>
      <w:r>
        <w:rPr>
          <w:rFonts w:ascii="宋体" w:hAnsi="宋体" w:eastAsia="宋体" w:cs="宋体"/>
          <w:color w:val="000000"/>
          <w:sz w:val="24"/>
          <w:highlight w:val="none"/>
          <w:u w:val="single"/>
        </w:rPr>
        <w:t xml:space="preserve">日09点30分</w:t>
      </w:r>
      <w:r>
        <w:rPr>
          <w:rFonts w:ascii="宋体" w:hAnsi="宋体" w:eastAsia="宋体" w:cs="宋体"/>
          <w:color w:val="000000"/>
          <w:sz w:val="24"/>
          <w:highlight w:val="none"/>
        </w:rPr>
        <w:t xml:space="preserve">（北京时间）前提交响应文件。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b/>
          <w:color w:val="000000"/>
          <w:sz w:val="24"/>
          <w:highlight w:val="none"/>
        </w:rPr>
        <w:t xml:space="preserve">一、项目基本情况</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JSZC-320500-SZJJ-C2025-0053</w:t>
      </w:r>
      <w:r>
        <w:rPr>
          <w:rFonts w:ascii="宋体" w:hAnsi="宋体" w:eastAsia="宋体" w:cs="宋体"/>
          <w:color w:val="000000"/>
          <w:sz w:val="24"/>
          <w:highlight w:val="none"/>
        </w:rPr>
        <w:t xml:space="preserve">号</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项目名称：狮子林检票等一线服务外包项目</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采购方式：竞争性磋商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预算金额：人民币贰佰捌拾万元整（￥：2800000.00）</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最高限价：人民币贰佰捌拾万元整（￥：2800000.00）</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rPr>
          <w:highlight w:val="none"/>
        </w:rPr>
      </w:r>
      <w:r/>
    </w:p>
    <w:p>
      <w:pPr>
        <w:numPr>
          <w:ilvl w:val="0"/>
          <w:numId w:val="5"/>
        </w:numPr>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采购内容：为了整体提升狮子林管理处及所辖怡园检票服务质量，打造苏州古典园林优质服务标杆，规范服务流程，提升游客体验，推进检票工作一体化管理水平。</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地点：狮子林检票口、怡园检票口、狮子林及怡园讲解组。每天根据采购人需求，安排检票人员及讲解服务人员至上述各服务点进行检票、讲解、解答游客问题、辅助游客购票等相关检票、讲解、咨询服务工作。</w:t>
      </w:r>
      <w:r>
        <w:rPr>
          <w:highlight w:val="none"/>
        </w:rPr>
      </w:r>
      <w:r/>
    </w:p>
    <w:p>
      <w:pPr>
        <w:ind w:left="0" w:right="0" w:firstLine="480"/>
        <w:jc w:val="both"/>
        <w:spacing w:before="0" w:after="0" w:line="85" w:lineRule="atLeast"/>
        <w:tabs>
          <w:tab w:val="left" w:pos="753" w:leader="none"/>
          <w:tab w:val="left" w:pos="7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3、服务期限：本次计划招标服务期为期12个月（具体进场时间以采购人通知为准）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二、申请人的资格要求：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（5）参加政府采购活动前三年内，在经营活动中没有出现重大违法记录；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2、落实政府采购政策需满足的资格要求：根据《政府采购促进中小企业发展管理办法》的相关规定，本项目为专门面向中小企业采购，所属行业为</w:t>
      </w:r>
      <w:r>
        <w:rPr>
          <w:rFonts w:ascii="宋体" w:hAnsi="宋体" w:eastAsia="宋体" w:cs="宋体"/>
          <w:b/>
          <w:color w:val="000000"/>
          <w:sz w:val="24"/>
          <w:highlight w:val="none"/>
        </w:rPr>
        <w:t xml:space="preserve">租赁和商务服务业</w:t>
      </w:r>
      <w:r>
        <w:rPr>
          <w:rFonts w:ascii="宋体" w:hAnsi="宋体" w:eastAsia="宋体" w:cs="宋体"/>
          <w:color w:val="000000"/>
          <w:sz w:val="24"/>
          <w:highlight w:val="none"/>
        </w:rPr>
        <w:t xml:space="preserve">。残疾人福利性单位、监狱企业视同小型、微型企业。</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（1）未被“信用中国”网站（WWW.creditchina.gov.cn）或“中国政府采购网”网站（www.ccgp.gov.cn）列入失信被执行人、重大税收违法案件当事人名单、政府采购严重失信行为记录名单；</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（2）本项目不接受联合体投标；本项目不得转包；</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三、获取采购文件</w:t>
      </w:r>
      <w:r>
        <w:rPr>
          <w:highlight w:val="none"/>
        </w:rPr>
      </w:r>
      <w:r/>
    </w:p>
    <w:p>
      <w:pPr>
        <w:ind w:left="0" w:right="0" w:firstLine="48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时间：“苏采云”系统为准</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方式：“苏采云”系统</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售价：0.00元</w:t>
      </w:r>
      <w:r>
        <w:rPr>
          <w:highlight w:val="none"/>
        </w:rPr>
      </w:r>
      <w:r/>
    </w:p>
    <w:p>
      <w:pPr>
        <w:ind w:left="0" w:right="0"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四、响应文件提交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w:t>
      </w:r>
      <w:r>
        <w:rPr>
          <w:rFonts w:ascii="宋体" w:hAnsi="宋体" w:eastAsia="宋体" w:cs="宋体"/>
          <w:color w:val="000000"/>
          <w:sz w:val="24"/>
          <w:highlight w:val="none"/>
        </w:rPr>
        <w:t xml:space="preserve">2026-1</w:t>
      </w:r>
      <w:r>
        <w:rPr>
          <w:rFonts w:ascii="宋体" w:hAnsi="宋体" w:eastAsia="宋体" w:cs="宋体"/>
          <w:color w:val="000000"/>
          <w:sz w:val="24"/>
          <w:highlight w:val="none"/>
        </w:rPr>
        <w:t xml:space="preserve">-4 </w:t>
      </w:r>
      <w:r>
        <w:rPr>
          <w:rFonts w:ascii="宋体" w:hAnsi="宋体" w:eastAsia="宋体" w:cs="宋体"/>
          <w:color w:val="000000"/>
          <w:sz w:val="24"/>
          <w:highlight w:val="none"/>
        </w:rPr>
        <w:t xml:space="preserve"> 09:30 （北京时间</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rPr>
          <w:highlight w:val="none"/>
        </w:rPr>
      </w:r>
      <w:r/>
    </w:p>
    <w:p>
      <w:pPr>
        <w:ind w:left="0" w:right="0"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五、开启</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2026-1</w:t>
      </w:r>
      <w:r>
        <w:rPr>
          <w:rFonts w:ascii="宋体" w:hAnsi="宋体" w:eastAsia="宋体" w:cs="宋体"/>
          <w:color w:val="000000"/>
          <w:sz w:val="24"/>
          <w:highlight w:val="none"/>
        </w:rPr>
        <w:t xml:space="preserve">-4</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 09:30 （北京时间）</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六、公告期限</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自本公告发布之日起3个工作日。</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七、其他补充事宜</w:t>
      </w:r>
      <w:r>
        <w:rPr>
          <w:highlight w:val="none"/>
        </w:r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1、本次采购的相关信息刊登在江苏省政府采购网、苏州市政府采购网、中国政府采购网中央主网，成交公告及项目的澄清、修正亦是刊登在此媒体，敬请各供应商注意。</w:t>
      </w:r>
      <w:r/>
    </w:p>
    <w:p>
      <w:pPr>
        <w:ind w:left="0" w:right="0" w:firstLine="480"/>
        <w:jc w:val="both"/>
        <w:spacing w:before="0" w:after="0" w:line="85"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2、苏州市财政局监督电话：0512-68616651。</w:t>
      </w:r>
      <w:r/>
    </w:p>
    <w:p>
      <w:pPr>
        <w:ind w:left="0" w:right="0" w:firstLine="480"/>
        <w:jc w:val="both"/>
        <w:spacing w:before="0" w:after="0" w:line="85"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3、凡为采购项目提供整体设计、规范编制或者项目管理、监理、检测等服务的供应商，不得再参加本项目的采购活动。</w:t>
      </w:r>
      <w:r/>
    </w:p>
    <w:p>
      <w:pPr>
        <w:ind w:left="0" w:right="0" w:firstLine="480"/>
        <w:jc w:val="both"/>
        <w:spacing w:before="0" w:after="0" w:line="85"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4、报名方式（网上报名）：</w:t>
      </w:r>
      <w:r/>
    </w:p>
    <w:p>
      <w:pPr>
        <w:ind w:left="0" w:right="0" w:firstLine="480"/>
        <w:jc w:val="both"/>
        <w:spacing w:before="0" w:after="0" w:line="85" w:lineRule="atLeast"/>
        <w:rPr>
          <w:rFonts w:ascii="Times New Roman" w:hAnsi="Times New Roman" w:eastAsia="Times New Roman"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（1）CA证书办理</w:t>
      </w:r>
      <w:r/>
    </w:p>
    <w:p>
      <w:pPr>
        <w:ind w:left="0" w:right="0" w:firstLine="480"/>
        <w:jc w:val="both"/>
        <w:spacing w:before="0" w:after="0" w:line="85"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color w:val="000000"/>
          <w:sz w:val="24"/>
          <w:szCs w:val="24"/>
        </w:rPr>
        <w:t xml:space="preserve">苏州市高新区邓尉路</w:t>
      </w:r>
      <w:r>
        <w:rPr>
          <w:rFonts w:ascii="宋体" w:hAnsi="宋体" w:eastAsia="Times New Roman" w:cs="宋体"/>
          <w:color w:val="000000"/>
          <w:sz w:val="24"/>
          <w:szCs w:val="24"/>
        </w:rPr>
        <w:t xml:space="preserve">105</w:t>
      </w:r>
      <w:r>
        <w:rPr>
          <w:rFonts w:ascii="宋体" w:hAnsi="宋体" w:eastAsia="宋体" w:cs="宋体"/>
          <w:color w:val="000000"/>
          <w:sz w:val="24"/>
          <w:szCs w:val="24"/>
        </w:rPr>
        <w:t xml:space="preserve">号狮山科技馆一楼服务大厅，咨询电话：</w:t>
      </w:r>
      <w:r>
        <w:rPr>
          <w:rFonts w:ascii="宋体" w:hAnsi="宋体" w:eastAsia="Times New Roman" w:cs="宋体"/>
          <w:color w:val="000000"/>
          <w:sz w:val="24"/>
          <w:szCs w:val="24"/>
        </w:rPr>
        <w:t xml:space="preserve">0512-65737699</w:t>
      </w:r>
      <w:r>
        <w:rPr>
          <w:rFonts w:ascii="宋体" w:hAnsi="宋体" w:eastAsia="宋体" w:cs="宋体"/>
          <w:color w:val="000000"/>
          <w:sz w:val="24"/>
          <w:szCs w:val="24"/>
        </w:rPr>
        <w:t xml:space="preserve">。</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（2）参与采购活动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（3）电子投标准备</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（4）技术咨询：</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注册咨询：18261002950；</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CA技术咨询电话：400-608-6099；</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签章使用问题：025-83633811、025-83633812、15380932027、15371015030；</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系统使用指导与咨询：联系电话：18261002950；QQ：3048755361、1315179389、895706745。</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7、本项目获取采购文件截止日期之后仍可以下载采购文件，但截止日期之后下载的采购文件，视为非有效获取采购文件方式且不作为供应商权益受到损害的证明材料和依据。</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8、供应商投标（响应）文件‘机器码一致’将其作为无效投标情形处理。</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9、本项目支持成交供应商办理政府采购合同信用融资，详见附件《政府采购合同信用融资政策告知函》。</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采购单位：苏州市狮子林管理处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联系地址：苏州市园林路23号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联系人：吴芳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联系电话：0512－67773263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采购代理机构：苏州骏捷建设管理咨询有限公司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 苏州市姑苏区金门路1299号金运大厦2号楼518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邮编：215002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电话/传真：0512-65954780-822</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联系人：杨喻婷、杨易、庞坤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项目联系人：杨喻婷、杨易、庞坤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联系电话：0512-65954780-822</w:t>
      </w:r>
      <w:r/>
    </w:p>
    <w:p>
      <w:pPr>
        <w:ind w:left="0" w:right="0" w:firstLine="48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苏州骏捷建设管理咨询有限公司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受苏州市狮子林管理处之委托，苏州骏捷建设管理咨询有限公司对其需采购的狮子林检票等一线服务外包项目在国内组织竞争性磋商采购。欢迎符合资格条件的供应商前来报名参加磋商。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一、磋商编号：</w:t>
      </w:r>
      <w:r>
        <w:rPr>
          <w:rFonts w:hint="eastAsia" w:ascii="宋体" w:hAnsi="宋体" w:cs="宋体"/>
          <w:b/>
          <w:color w:val="000000"/>
          <w:sz w:val="24"/>
          <w:lang w:eastAsia="zh-CN"/>
        </w:rPr>
        <w:t xml:space="preserve">JSZC-320500-SZJJ-C2025-0053</w:t>
      </w:r>
      <w:r>
        <w:rPr>
          <w:rFonts w:ascii="宋体" w:hAnsi="宋体" w:eastAsia="宋体" w:cs="宋体"/>
          <w:b/>
          <w:color w:val="000000"/>
          <w:sz w:val="24"/>
        </w:rPr>
        <w:t xml:space="preserve"> 号</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二、项目名称：</w:t>
      </w:r>
      <w:r>
        <w:rPr>
          <w:rFonts w:ascii="宋体" w:hAnsi="宋体" w:eastAsia="宋体" w:cs="宋体"/>
          <w:b/>
          <w:color w:val="000000"/>
          <w:spacing w:val="-6"/>
          <w:sz w:val="24"/>
        </w:rPr>
        <w:t xml:space="preserve">狮子林检票等一线服务外包项目</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三、采购项目预算：人民币贰佰捌拾万元整（￥：2800000.00）</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最高限价：人民币贰佰捌拾万元整（￥：2800000.00）</w:t>
      </w:r>
      <w:r/>
    </w:p>
    <w:p>
      <w:pPr>
        <w:numPr>
          <w:ilvl w:val="0"/>
          <w:numId w:val="6"/>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（一）项目名称：苏州市狮子林管理处检票等一线服务项目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（二）服务期限：本次计划招标服务期为期12个月（具体进场时间以采购人通知为准）。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地点：狮子林检票口、怡园检票口、狮子林及怡园讲解组。每天根据采购人需求，安排检票人员及讲解服务人员至上述各服务点进行检票、讲解、解答游客问题、辅助游客购票等相关检票、讲解、咨询服务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1、服务人员配置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（1）最低工作岗位数及在岗时间如下：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驻场管理人员设2岗，其中狮子林排1岗，怡园1岗；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狮子林设4岗，共四条检票通道。旺季（3月－10月）周一至周五，开放时段保证3条通道全开放，周六、周日开放时段保证4条通道全开放，如遇节假日，四条通道全开放。淡季（11月一次年2月）周一至周五，开放时段保证2条通道全开放，周六、周日开放时段保证3条通道全开放，如遇节假日，四条通道全开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怡园设1岗，共一条检票通道。全年保证开放时段正常检票，节假日游客量大时，安排人员通过手持机协助检票。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讲解服务人员，设3岗，狮子林2岗，怡园1岗。须至少配置2名中英文讲解，满足收费及免费讲解要求，讲解服务人员提成由招标方每月根据实际工作量统计后给到成交单位，成交单位按实发放给相应讲解员。讲解员工作服由招标人统一指定，费用由中标人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项目岗位数10岗，预计用工人数约为26人。成交单位须确保服务岗位数量，用工人数以实际用工人数为准。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在岗工作时间：3月1日至10月31日为7:20-17:10，11月1日至次年2月底为7:20-16:40；节假日狮子林景区在日常工作时间的基础上延时，延长时间为0.5小时。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注：①因相关政策或上级部门对开闭园时间调整导致工作时间变化的，投标人无条件配合执行。②延时服务费用根据服务人员数量和延时工作时长与其员工据实结算，采购人不额外支付费用。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结算付款方式：按月支付，根据每月考核结果在次月15日内向成交单位一次性支付考核后的服务费（扣除费用除外）。成交单位须先向采购人出具合法有效完整的完税发票及凭证资料，采购人再行支付合同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（五）服务人员要求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人员总体要求：具有中华人民共和国国籍，享有公民的政治权利。拥护中国共产党的领导，热爱祖国，政治可靠、作风正派、遵纪守法，具有较强的事业心和责任心，遵守景区各项规章制度，服务人员不得有下列情形之一：A、曾受过治安、刑事处罚（包含曾经被采取过行政、刑事强制措施）的；B、涉嫌犯罪，司法程序尚未终结的；C、道德品质上有劣迹行为的；D、在党纪政纪处分期间内的；E、有其他不良行为，不宜从事所聘岗位工作的；F、法律、法规规定的不得聘用的其他情形。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2．身体健康，需要形象好和气质佳，性格活泼开朗，具有亲和力，有良好的沟通能力和应变能力，解决游客遇到的问题，具备强烈的责任心和敬业精神，有与旅游服务相关的工作经验优先。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3．年龄要求22岁-40岁之间，男身高1.70-1.80米、女身高1.63-1.70米；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4．大专以上学历，有职业道德，普通话标准流利及掌握基本的英语对话能力，具备计算机、智能手机等操作能力，具备基本的消防技能。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5．至少须3名服务人员具有英语四级（CET-4）及以上证书。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6．服务人员统一着装佩证，人员队伍稳定，服装由中标单位提供。款式经招标人认可。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注：根据采购人要求安排服务人员的数量、班次、服务时长、服务地点。（岗位基本要求和日常规范求见附件一）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7．供应商根据采购人要求落实各岗位具体所需服务人数。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8．中标单位要保证服务人员队伍稳定，月均离职率控制在10%以内。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9．中标单位每半年提供一次在职员工的无犯罪证明给采购人。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（六）服务要求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1、驻场管理人员服务要求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（1）服从采购人管理，严格遵守采购人各项规章制度。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（2）按照采购人工作要求，全面负责现场服务各项工作。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（3）负责服务人员的管理、调配、纠纷及突发事件的处理。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（4）负责检票投诉处理，负责本项目内设机构以及人员之间的沟通和协调。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2、除驻场管理人员，其他人员服务要求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（1）负责游客入园的验证、验票、咨询、解答、引导工作。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（2）负责做好接待登记和工作联系入园以及重要活动接待工作。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（3）负责做好狮子林及怡园讲解、游客咨询等服务工作。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（七）采购人对成交单位要求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1．采购人全面监督、指导、检查、验收中标单位工作，发现问题及时通知成交单位，要求成交单位及时予以处理；对成交单位提出的合理建议和要求予以采纳或提供帮助。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2．采购人配备专人管理检票服务项目，制订工作标准。审定成交单位关于本项目各项管理制度、培训计划方案等。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每天派专人对检票服务项目进行巡查，并签署每日巡查记录表，主要包括着装、到岗情况、微笑服务、接待礼仪等。每月对检票服务项目进行考核，并开展不定期的抽查，根据每月考核表及抽查表对中标单位进行扣分或处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要求成交单位做好日常培训工作，每月至少开展一次培训，培训内容涵盖优惠政策、文明礼仪、标准话术、英语对话、应急演练等，培训结束须开展培训内容考核，并做好台账记录，考核合格方能上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5．采购人要求成交单位每日上岗前召开晨会，准备好一天的检票工作。每日结束检票工作后召开夕会，总结一天的检票工作。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6．成交单位派驻的工作人员须配合、协助采购人的相关工作。如遇临时性工作需要，采购人有权要求成交单位做好各项接待工作。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7．采购人规定所有检票人员须站立微笑服务，岗上禁止做与工作无关之事。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8．采购人有权干涉及制止中标单位的工作人员在园内的不规范行为，有权要求成交单位更换不合格的工作人员。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9．采购人审核成交单位的岗位管理及考勤记录。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采购人对合同规定范围内中标单位的服务进行监督和检查，对成交单位提供的服务拥有监管权。对其认为不符合服务质量标准的部分，采购人有权下达整改通知书并要求成交单位限期进行符合服务质量标准的整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11.外包人员需经用人单位审核后，方可上岗。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12.由成交单位负责外包人员提出的劳动争议、劳动仲裁、诉讼纠纷等事宜。</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（一）投标单位必须按照《劳动法》及国家、省市、当地相关规定支付工资、国假加班费和交纳正常的社会保险等所有费用。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投标单位在被确定成交后，其在投标文件中所提供的服务人员名单须相对固定，如有人员调整须在合同签订前征得采购人同意，否则采购人有权以中标单位构成严重违约为由解除合同，因此而产生的损失与其他后果由中标单位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（三）投标单位所提供的服务内容应能够达到采购文件中的要求，并提供详细的服务方案和服务质量标准。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（四）投标单位必须承诺采购文件中提出的全部要求，如果以其中某些条款不响应时，应在投标文件中逐条列出，未列出的视同响应。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本项目报价包括完成本项工作所需的设备、人工（含人员保险费用）、服装、协调费用、利润、税金、管理费、风险费、文件规定政策性费用等所有费用。除上述费用外，采购人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（六）文明礼貌，热情待客，工作中不得与游客发生冲突，不得做出有损景区形象的行为。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（七）成交单位须确保最低服务岗位数量及每天最低用工人数。</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六、响应文件的组成及要求</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（一）电子响应文件组成（部分格式见附件）</w:t>
      </w:r>
      <w:r/>
    </w:p>
    <w:p>
      <w:pPr>
        <w:ind w:left="0" w:right="0" w:firstLine="211"/>
        <w:jc w:val="both"/>
        <w:spacing w:before="21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1、资格审查材料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（1）具有独立承担民事责任的能力：法人或者其他组织的营业执照等证明文件，自然人的身份证明；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（2）具有良好的商业信誉和健全的财务会计制度证明：包括但不限于最近一期经审计的财务报告，其他组织、自然人及成立未满一年的法人应提供基本开户银行出具的资信证明；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（3）具备履行合同所必备的设备和专业技术能力的证明材料或承诺函。企业法人性质的政府采购供应商应在经工商管理部门核准登记注册的经营范围内参与经营活动；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（4）有依法缴纳税收和社会保障资金的良好记录：提供最近半年内至少一个月的依法缴纳税收和社会保障资金的证明材料；依法免税或依法免缴社会保障资金的供应商，应提供相应证明材料；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（5）参加政府采购活动前三年内在经营活动中没有重大违法记录的书面声明函（格式自拟）；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（6）《中小企业声明函》、《残疾人福利性单位声明函》及《监狱企业声明函》</w:t>
      </w:r>
      <w:r>
        <w:rPr>
          <w:rFonts w:ascii="宋体" w:hAnsi="宋体" w:eastAsia="宋体" w:cs="宋体"/>
          <w:b/>
          <w:color w:val="000000"/>
          <w:sz w:val="24"/>
        </w:rPr>
        <w:t xml:space="preserve">（响应单位应为中小微企业，残疾人福利性单位或监狱企业视同小微企业，响应文件中必须提供相关声明函，否则视为无效投标）</w:t>
      </w:r>
      <w:r>
        <w:rPr>
          <w:rFonts w:ascii="宋体" w:hAnsi="宋体" w:eastAsia="宋体" w:cs="宋体"/>
          <w:color w:val="000000"/>
          <w:sz w:val="24"/>
        </w:rPr>
        <w:t xml:space="preserve">（详见附件格式）。</w:t>
      </w:r>
      <w:r/>
    </w:p>
    <w:p>
      <w:pPr>
        <w:ind w:left="42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注：上述为资格审查材料，提供不全或者未按要求提供，视为资格审查不通过。</w:t>
      </w:r>
      <w:r/>
    </w:p>
    <w:p>
      <w:pPr>
        <w:ind w:left="0" w:right="0" w:firstLine="211"/>
        <w:jc w:val="both"/>
        <w:spacing w:before="21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2、符合性审查材料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（1）参加磋商的响应函；</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（2）供应商关于资格的声明函；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（3）磋商报价一览表；分项报价表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（4）法定代表人身份证复印件；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（5）法定代表人授权委托书、委托代理人身份证复印件（如为委托）；</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（6）服务要求偏离表、商务条款偏离表；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（7）项目组成员一览表、投入设备一览表；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（8）供应商情况表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（9）投标（响应）保证承诺书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（10）响应人与其他单位存在控股、管理关系情况表；</w:t>
      </w:r>
      <w:r/>
    </w:p>
    <w:p>
      <w:pPr>
        <w:ind w:left="42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注：上述为符合性审查材料，提供不全视为未实质性响应采购文件，符合性审查不通过。</w:t>
      </w:r>
      <w:r/>
    </w:p>
    <w:p>
      <w:pPr>
        <w:ind w:left="0" w:right="0" w:firstLine="422"/>
        <w:jc w:val="both"/>
        <w:spacing w:before="21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3、综合评审材料及其他材料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（1）针对本项目的详细服务方案；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（2）企业类似业绩一览表（如有）；</w:t>
      </w:r>
      <w:r/>
    </w:p>
    <w:p>
      <w:pPr>
        <w:ind w:left="0" w:right="0" w:firstLine="5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注：响应单位所提交的其它资料文件的完整与否，将直接影响对响应单位是否实质性响应采购文件要求的评判或评分。</w:t>
      </w:r>
      <w:r/>
    </w:p>
    <w:p>
      <w:pPr>
        <w:ind w:left="0" w:right="-161"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（二）电子响应文件要求：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1、电子响应文件按上述文件组成顺序编写，并在首页编制“响应文件目录”。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2、电子响应文件制作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2.1、在苏采云系统中下载采购文件后，点击“客户端下载地址”，下载投标文件客户端，查看客户端使用说明。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2.2、将下载的采购文件导入投标文件客户端，按照《操作手册》完成投标文件的编制和加盖电子签章。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2.3、制作电子投标（响应）文件时请与电子投标（响应）文件制作软件目录一一对应，将相关资料上传至相应模块。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2.4、供应商应保证上传的投标（响应）文件完整、清晰可辨认，若因上传资料过小或模糊不清等无法辨认的都视为该资料未提供。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2.5、供应商必须保证全部响应资料的真实性，如有虚假或对采购文件所要求说明的情况故意隐瞒或虚报，视为不实质性响应磋商文件，响应无效。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2.6、导出制作完成的投标文件，上传至苏采云系统。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注：具体投标文件编制教程查看苏采云系统中的客户端使用说明和供应商《操作手册》。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3、电子投标文件中的资料应按采购文件的要求加盖投标人的电子签章或公章。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4、未按照要求编制电子投标文件，未按照要求在电子投标文件上加盖电子签章的，均视为无效投标。</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七、磋商程序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1、采购代理机构按本采购文件规定的时间、地点主持磋商采购活动。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2、供应商通过“苏采云”系统在线参与磋商活动。供应商应当按照《苏采云系统供应商操作手册》规定在“苏采云”系统在规定的时间内对响应文件进行解密，否则视为放弃参与磋商活动。</w:t>
      </w:r>
      <w:r/>
    </w:p>
    <w:p>
      <w:pPr>
        <w:ind w:left="567" w:right="0" w:hanging="567"/>
        <w:spacing w:before="0" w:after="0" w:line="85" w:lineRule="atLeast"/>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3、根据政府采购法及相关法规，将对供应商进行信用查询，凡经确认不符合政府采购相关法律法规规定的，将拒绝其参与政府采购活动。</w:t>
      </w:r>
      <w:r/>
    </w:p>
    <w:p>
      <w:pPr>
        <w:ind w:left="567" w:right="0" w:hanging="567"/>
        <w:spacing w:before="0" w:after="0" w:line="85" w:lineRule="atLeast"/>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3.1.查询时间：投标文件递交截止时间。</w:t>
      </w:r>
      <w:r/>
    </w:p>
    <w:p>
      <w:pPr>
        <w:ind w:left="567" w:right="0" w:hanging="567"/>
        <w:spacing w:before="0" w:after="0" w:line="85" w:lineRule="atLeast"/>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567" w:right="0" w:hanging="567"/>
        <w:spacing w:before="0" w:after="0" w:line="85" w:lineRule="atLeast"/>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查询证据留存方式：对存在失信信息的供应商，采购人或者招标代理机构应填写《苏州市级政府采购供应商失信信息确认函》，由失信供应商应确认。同时，招标代理机构工作人员应登陆到来源网站页面进行复核并打印，作为证据留存。</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3.4信用记录使用规则：评审小组在对供应商进行资格性审查时，应根据查询结果对供应商的不良信用记录逐项甄别确认。按照《中华人民共和国政府采购法》第二十二条规定，</w:t>
      </w:r>
      <w:r>
        <w:rPr>
          <w:rFonts w:ascii="宋体" w:hAnsi="宋体" w:eastAsia="宋体" w:cs="宋体"/>
          <w:b/>
          <w:color w:val="000000"/>
          <w:sz w:val="24"/>
        </w:rPr>
        <w:t xml:space="preserve">下列信用记录属于应依法拒绝供应商参加政府采购的失信信息，存在此类失信信息的投标人的投标无效</w:t>
      </w:r>
      <w:r>
        <w:rPr>
          <w:rFonts w:ascii="宋体" w:hAnsi="宋体" w:eastAsia="宋体" w:cs="宋体"/>
          <w:color w:val="000000"/>
          <w:sz w:val="24"/>
        </w:rPr>
        <w:t xml:space="preserve">：</w:t>
      </w:r>
      <w:r/>
    </w:p>
    <w:p>
      <w:pPr>
        <w:ind w:left="0" w:right="0" w:firstLine="480"/>
        <w:jc w:val="both"/>
        <w:spacing w:before="0" w:after="0" w:line="85" w:lineRule="atLeast"/>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（一）政府采购严重违法记录，即供应商被全国各级财政部门列入“政府采购严重违法失信行为记录名单”，且在处罚有效期内的。</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（二）财政部门与法院、工商、税务等部门联合惩戒的失信信息，包括：</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（1）被列入失信被执行人名单；</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（2）被列入重大税收违法案件当事人名单；</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5、由磋商小组审查供应商解密的响应文件。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7、磋商小组要求供应商澄清、说明或者更正响应文件应当以书面形式做出。供应商的澄清、说明或者更正应当由其单位加盖电子公章。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（一）评标过程中出现下列情形之一的，评标委员会应当启动异常低价投标（响应）审查程序：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（1）投标（响应）报价低于采购项目预算 50% 的，即投标（响应）报价&lt;采购项目预算×50% ；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（2）投标（响应）报价低于采购项目最高限价 45% 的，即投标（响应）报价&lt;采购项目最高限价×45% ；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（3）评标委员会认定的供应商报价过低、有可能影响产品质量或者不能诚信履约的其他情形。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14.2、进入项目评审流程后，建议各供应商法定代表人或授权委托人始终保持通讯顺畅，及时登录苏采云系统查阅、答复相关信息，时刻关注不见面开标大厅，不离开不见面开标大厅。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15、经磋商确定最终采购需求和提交最后报价的供应商后，由磋商小组采用综合评分法对提交最后报价的供应商的响应文件和最后报价进行综合评分。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16、磋商小组根据磋商成交原则确定成交供应商，并将结果通知所有参加磋商的供应商。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八、项目终止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出现下列情形之一的，采购人或者采购代理机构应当终止竞争性磋商采购活动，发布项目终止公告并说明原因，重新开展采购活动：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2、出现影响采购公正的违法、违规行为的；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3、在采购过程中符合竞争要求的供应商或者报价未超过采购预算的供应商不足3家的，但符合《政府采购竞争性磋商采购方式管理暂行办法》第三条第四项的情形除外。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项目终止后，采购代理机构应当将项目终止的理由告知所有供应商。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2、磋商小组根据磋商成交原则确定成交供应商。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3、采购人或者采购代理机构应当在成交供应商确定后2个工作日内，在政府采购信息媒体上发布成交结果，成交公告期限为1个工作日。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4、采购人或采购代理机构根据相关规定发布成交公告，成交公告发出的同时应当向</w:t>
      </w:r>
      <w:r>
        <w:rPr>
          <w:rFonts w:ascii="宋体" w:hAnsi="宋体" w:eastAsia="宋体" w:cs="宋体"/>
          <w:color w:val="000000"/>
          <w:sz w:val="24"/>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5、成交通知书发出后，采购人不得违法改变成交结果，成交供应商无正当理由不得放弃成交。</w:t>
      </w:r>
      <w:r/>
    </w:p>
    <w:p>
      <w:pPr>
        <w:ind w:left="0" w:right="-153" w:firstLine="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1、采购人原则上应当自中标（成交）通知书发出之日起30日内，按照磋商文件确定的合同文本以及采购标的、规格型号、采购金额、采购数量、技术和服务要求等事项签订政府采购合同。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2、采购合同签订之日起二个工作日内，采购人应当将合同在苏采云对外公示。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153" w:firstLine="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十一、综合说明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报价包括完成本项工作所需的设备、人工（含人员保险费用）、服装、协调费用、利润、税金、管理费、风险费、文件规定政策性费用等所有费用。除上述费用外，采购人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2、供应商必须说明其是否响应采购文件中提出的全部服务内容与要求，如果以其中某些条款不响应时，应在文件中逐条列出，未列出的视同响应。</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3、政府采购代理成交服务费：成交人在领取成交通知书时向采购代理机构支付。</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收费标准：预算金额100万元以下部分，费率为该部分预算金额的1.5%；</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预算金额100万元（含）－500万元部分，费率为该部分预算金额的1.1%；</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预算金额500万元（含）-1000万元部分，费率为该部分预算金额的0.8%；</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预算金额1000万元（含）-5000万元部分，费率为该部分预算金额的0.5%；</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预算金额5000万元以上部分，费率为该部分预算金额的0.25%。</w:t>
      </w:r>
      <w:r/>
    </w:p>
    <w:p>
      <w:pPr>
        <w:ind w:left="0" w:right="0"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本次代理服务费为34800.00元。请各供应商在投标报价时综合考虑。</w:t>
      </w:r>
      <w:r/>
    </w:p>
    <w:p>
      <w:pPr>
        <w:ind w:left="0" w:right="-161" w:firstLine="4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4、磋商保证金：</w:t>
      </w:r>
      <w:r>
        <w:rPr>
          <w:rFonts w:ascii="宋体" w:hAnsi="宋体" w:eastAsia="宋体" w:cs="宋体"/>
          <w:b/>
          <w:color w:val="000000"/>
          <w:sz w:val="24"/>
        </w:rPr>
        <w:t xml:space="preserve">(本项目无需递交响应保证金，采购文件中涉及磋商保证金的条款不适用)</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①对可以质疑的采购文件提出质疑的，为收到采购文件之日或者采购文件公告期限届满之日；</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②对采购过程提出质疑的，为各采购程序环节结束之日；</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③对中标或者成交结果提出质疑的，为中标或者成交结果公告期限届满之日。 </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质疑接收人：苏州骏捷建设管理咨询有限公司/杨易/0512-65954780</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质疑接收方式：现场递交或邮寄（拒绝到付）</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质疑接收地址：苏州市姑苏区金门路1299号2号楼518</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6、磋商说明：</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（1）不符合供应商资格要求，资格审查未通过的，响应无效；</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（2）参加磋商的供应商提交的磋商保证金的形式、金额，不满足采购文件的要求，响应文件将被拒绝；（本项目无需递交响应保证金）</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（3）最终报价超过采购预算的，响应无效；</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（4）不实质性响应磋商文件的，响应无效；</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（5）本次磋商采取二次报价的方式，即提交磋商文件中的报价为首次报价，磋商过程中再作一次最终报价。</w:t>
      </w:r>
      <w:r>
        <w:rPr>
          <w:rFonts w:ascii="宋体" w:hAnsi="宋体" w:eastAsia="宋体" w:cs="宋体"/>
          <w:b/>
          <w:color w:val="000000"/>
          <w:sz w:val="24"/>
        </w:rPr>
        <w:t xml:space="preserve">注：最终总报价超最高限价者不成交。提交最后报价的供应商不得少于三家。除因磋商文件修改导致成本增加，供应商二次报价不得超过第一次报价，否则为无效响应报价。</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（6）实质性响应磋商文件不满三家或进入二次报价的不满三家或二次报价在采购预算内不满三家的，磋商采购失败。</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7、成交后，成交单位提供四份纸质响应文件。</w:t>
      </w:r>
      <w:r/>
    </w:p>
    <w:p>
      <w:pPr>
        <w:ind w:left="0" w:right="0" w:firstLine="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十二、政府采购政策：</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1、小、微企业</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根据《政府采购促进中小企业发展管理办法》（财库〔2020〕46号）、《关于做好政府采购支持企业发展有关</w:t>
      </w:r>
      <w:r>
        <w:rPr>
          <w:rFonts w:ascii="宋体" w:hAnsi="宋体" w:eastAsia="宋体" w:cs="宋体"/>
          <w:color w:val="000000"/>
          <w:sz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其中，供应商提供的货物既有中小企业制造货物，也有大型企业制造货物的，不享受中小企业扶持政策。</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根据《政府采购促进中小企业发展管理办法》（财库〔2020〕46号）及《中小企业划型标准规定》（工信部联企业〔2011〕300号），本采购标的对应的中小企业划分标准所属行业为：</w:t>
      </w:r>
      <w:r>
        <w:rPr>
          <w:rFonts w:ascii="宋体" w:hAnsi="宋体" w:eastAsia="宋体" w:cs="宋体"/>
          <w:b/>
          <w:color w:val="000000"/>
          <w:sz w:val="24"/>
        </w:rPr>
        <w:t xml:space="preserve">租赁和商务服务业。</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4、绿色采购（如有详见附件）</w:t>
      </w:r>
      <w:r/>
    </w:p>
    <w:p>
      <w:pPr>
        <w:ind w:left="0" w:right="0" w:firstLine="42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w:t>
      </w:r>
      <w:r>
        <w:rPr>
          <w:rFonts w:ascii="宋体" w:hAnsi="宋体" w:eastAsia="宋体" w:cs="宋体"/>
          <w:color w:val="000000"/>
          <w:sz w:val="24"/>
        </w:rPr>
        <w:t xml:space="preserve">验收标准：本招标文件适用苏财规【2024】7号文件关于印发《江苏省政府采购履约验收管理办法》的通知。</w:t>
      </w:r>
      <w:r/>
    </w:p>
    <w:p>
      <w:pPr>
        <w:ind w:left="0" w:right="0" w:firstLine="0"/>
        <w:jc w:val="both"/>
        <w:spacing w:before="210" w:after="21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w:t>
      </w:r>
      <w:r>
        <w:rPr>
          <w:rFonts w:ascii="宋体" w:hAnsi="宋体" w:eastAsia="宋体" w:cs="宋体"/>
          <w:color w:val="000000"/>
          <w:sz w:val="24"/>
        </w:rPr>
        <w:t xml:space="preserve">凡涉及磋商采购文件的补充说明和修改，均以江苏政府采购网、苏州政府采购网上发布的通知为准。</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三、评审方法及评分标准</w:t>
      </w:r>
      <w:r/>
    </w:p>
    <w:p>
      <w:pPr>
        <w:ind w:left="0" w:right="0" w:firstLine="0"/>
        <w:jc w:val="both"/>
        <w:spacing w:before="0" w:after="0" w:line="85" w:lineRule="atLeast"/>
        <w:tabs>
          <w:tab w:val="left" w:pos="28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一、评审方法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1、本次招标评标方法为综合评分法，即在</w:t>
      </w:r>
      <w:r>
        <w:rPr>
          <w:rFonts w:ascii="宋体" w:hAnsi="宋体" w:eastAsia="宋体" w:cs="宋体"/>
          <w:color w:val="000000"/>
          <w:sz w:val="24"/>
        </w:rPr>
        <w:t xml:space="preserve">最大限度地</w:t>
      </w:r>
      <w:r>
        <w:rPr>
          <w:rFonts w:ascii="宋体" w:hAnsi="宋体" w:eastAsia="宋体" w:cs="宋体"/>
          <w:color w:val="000000"/>
          <w:sz w:val="24"/>
          <w:highlight w:val="white"/>
        </w:rPr>
        <w:t xml:space="preserve">满足采购文件实质性要求前提下，按照采购文件中规定的评分标准和各项因素进行综合评审后，</w:t>
      </w:r>
      <w:r>
        <w:rPr>
          <w:rFonts w:ascii="宋体" w:hAnsi="宋体" w:eastAsia="宋体" w:cs="宋体"/>
          <w:color w:val="000000"/>
          <w:sz w:val="24"/>
        </w:rPr>
        <w:t xml:space="preserve">由综合评分得分最高的响应单位为成交单位。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标时，评标委员会成员分别对每个有效响应单位的标书进行评价、打分，将评委的评分按算术平均方法，计算出每个有效响应单位的评委评审得分（保留小数点后两位）。投标报价得分直接计算取得。评委评审得分和投标报价得分相加为响应单位的总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3、如出现评标总得分最高的响应单位有两个或两个以上的，以实际投标报价较低者优先作为成交单位，如果实际投标报价也相同的，则由采购人或者采购代理机构以抽签方式确定成交单位。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二、评分标准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（一）报价得分（最高为30分）</w:t>
      </w:r>
      <w:r/>
    </w:p>
    <w:p>
      <w:pPr>
        <w:ind w:left="0" w:right="0" w:firstLine="48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1．报价超出采购预算的为无效投标。无效投标报价的磋商响应文件不进行评审，也不得标。</w:t>
      </w:r>
      <w:r/>
    </w:p>
    <w:p>
      <w:pPr>
        <w:ind w:left="0" w:right="0" w:firstLine="48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2．在所有有效投标报价中满足磋商文件要求，且最低的投标报价为评标基准价，其价格分为30分，其他响应单位的价格分按照下列公式计算（计算结果四舍五入保留两位小数）。</w:t>
      </w:r>
      <w:r/>
    </w:p>
    <w:p>
      <w:pPr>
        <w:ind w:left="0" w:right="0" w:firstLine="48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磋商报价得分=（磋商基准价/最后磋商报价）×价格权值×100（价格权值为30%）。</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（二）服务方案</w:t>
      </w:r>
      <w:r>
        <w:rPr>
          <w:rFonts w:ascii="Times New Roman" w:hAnsi="Times New Roman" w:eastAsia="Times New Roman" w:cs="Times New Roman"/>
          <w:b/>
          <w:color w:val="000000"/>
          <w:sz w:val="24"/>
        </w:rPr>
        <w:t xml:space="preserve">55</w:t>
      </w:r>
      <w:r>
        <w:rPr>
          <w:rFonts w:ascii="宋体" w:hAnsi="宋体" w:eastAsia="宋体" w:cs="宋体"/>
          <w:b/>
          <w:color w:val="000000"/>
          <w:sz w:val="24"/>
        </w:rPr>
        <w:t xml:space="preserve">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针对本项目管理的总体设想（包括方案项目特点与需求分析、项目运作设想、拟采用的管理模式及服务理念、项目组织管理组织结构图、整体运作流程与计划）：理解透彻、思路清晰、管理总体设想全面完善，科学合理、可行性强的得</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分；针对本项目理解较透彻、管理总体设想较全面完善、可行性较强的得</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分；针对本项目理解、管理总体设想基本全面、可行性一般得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分；未提供方案说明或内容完全脱离本项目内容不得分。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2、针对本项目接待服务方案比较：方案内容科学合理、全面，满足采购需求得</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分；方案内容合理、片面，部分满足采购需求得</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分；方案内容过于简单、不合理得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3、针对本项目后勤服务方案比较：方案内容科学合理、全面，满足采购需求得</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分；方案内容合理、片面，部分满足采购需求得</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分；方案内容过于简单、不合理得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4、针对投标单位内部管理制度比较（包括组织架构、项目内部检查考核制度、自查自纠制度、奖惩措施、档案管理）：管理制度完整合理、可操作性强、奖惩分明得</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分；管理制度完整合理性一般，可操作性较强，奖惩制度一般的得</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分；管理制度完整合理性较差，可操作性较差，奖惩不明确得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分；未提供方案说明或内容完全脱离本项目内容不得分。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5、针对本项目的应急预案和紧急事件处置措施比较：方案内容科学合理、全面，满足采购需求得</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分；方案内容合理、片面，部分满足采购需求得</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分；方案内容过于简单、不合理得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6、针对本项目服务期间与其他单位、部门的综合协调方案比较：方案详细具体、贴合项目实际需求、科学合理、可行性高得8分；方案较合理、可行性较好得4分；方案简单、合理性可行性一般得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分；未提供方案说明或内容完全脱离本项目内容不得分。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7、针对本项目台账管理方案比较（包括台账建立、保存管理等）：方案内容科学合理、全面，满足采购需求得</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分；方案内容合理、片面，部分满足采购需求得</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分；方案内容过于简单、不合理得</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分；未提供不得分。</w:t>
      </w:r>
      <w:r/>
    </w:p>
    <w:p>
      <w:pPr>
        <w:ind w:left="0" w:right="0" w:firstLine="24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（三）投标单位综合履约能力比较</w:t>
      </w:r>
      <w:r>
        <w:rPr>
          <w:rFonts w:ascii="Times New Roman" w:hAnsi="Times New Roman" w:eastAsia="Times New Roman" w:cs="Times New Roman"/>
          <w:b/>
          <w:color w:val="000000"/>
          <w:sz w:val="24"/>
        </w:rPr>
        <w:t xml:space="preserve">15</w:t>
      </w:r>
      <w:r>
        <w:rPr>
          <w:rFonts w:ascii="宋体" w:hAnsi="宋体" w:eastAsia="宋体" w:cs="宋体"/>
          <w:b/>
          <w:color w:val="000000"/>
          <w:sz w:val="24"/>
        </w:rPr>
        <w:t xml:space="preserve">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1、投标单位2022年01月01日（以合同签订日期为准）至今承担过类似项目业绩比较：每提供一个得</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分，最高得</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分（投标文件中需提供完整的合同扫描件，未提供或提供不全不得分）。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、投标单位检票员学历证明，本科及以上每提供一项得2分，本项最高得</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分（投标文件中需提供相关证书原件扫描件及网页查询截图并提供近一期社保证明材料，否则不得分）。</w:t>
      </w:r>
      <w:r/>
    </w:p>
    <w:p>
      <w:pPr>
        <w:ind w:left="0" w:right="0" w:firstLine="2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2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1、投标报价未按采购要求报价规定的不进入评审程序。</w:t>
      </w:r>
      <w:r/>
    </w:p>
    <w:p>
      <w:pPr>
        <w:ind w:left="0" w:right="0" w:firstLine="2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2、付款步骤、服务期如有负偏离的不得成交。</w:t>
      </w:r>
      <w:r/>
    </w:p>
    <w:p>
      <w:pPr>
        <w:ind w:left="0" w:right="0" w:firstLine="2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3、针对评分标准中评分的每一条，投标单位均应提供相关资料并作出相应说明供评委评判，不提供相关资料的视为不具备该项得分的条件。</w:t>
      </w:r>
      <w:r/>
    </w:p>
    <w:p>
      <w:pPr>
        <w:ind w:left="0" w:right="0" w:firstLine="0"/>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四、合同主要条款</w:t>
      </w:r>
      <w:r/>
    </w:p>
    <w:p>
      <w:pPr>
        <w:ind w:left="0" w:right="960" w:firstLine="0"/>
        <w:jc w:val="right"/>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地址：联系人：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乙方（供应方）：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根据《中华人民共和国民法典》《中华人民共和国政府采购法》等相关法律法规的规定，甲乙双方就此次成交的【】（以下简称“本项目”）的相关事宜，签订本合同书，以兹共同遵守。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一、合同内容</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。若乙方不能按要求实施项目，甲方有权终止本合同。在合同有效期内一方不得擅自变更、中止或终止本合同，如未经双方书面同意，擅自变更、中止或终止本合同的一方应承担违约责任。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、下列文件为本合同不可分割的部分，与本合同具有同等的法律效力：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①本合同书及本合同书签署后各方以书面形式确认的补充协议、会议纪要等；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②成交通知书（如有）；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③政府采购文件（如有）；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④乙方的投标文件（如有）；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⑤乙方在招投标过程中所作的其他承诺、声明、书面澄清等（如有）。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以上文件视为是能互相说明的，如上述文件之间存在冲突或不一致的，以排列序位在前的文件为准，同一序位的文件以形成时间在后的为准。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二、价格与支付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、合同价格按此次中标价格执行，本合同总金额（含税）为人民币（大写）            （¥：</w:t>
      </w:r>
      <w:r>
        <w:rPr>
          <w:rFonts w:ascii="宋体" w:hAnsi="宋体" w:eastAsia="宋体" w:cs="宋体"/>
          <w:color w:val="000000"/>
          <w:sz w:val="24"/>
          <w:u w:val="single"/>
        </w:rPr>
        <w:t xml:space="preserve">          </w:t>
      </w:r>
      <w:r>
        <w:rPr>
          <w:rFonts w:ascii="宋体" w:hAnsi="宋体" w:eastAsia="宋体" w:cs="宋体"/>
          <w:color w:val="000000"/>
          <w:sz w:val="24"/>
        </w:rPr>
        <w:t xml:space="preserve">）。上述合同总金额包括完成本项工作所需的设备、人工（含人员保险费用）、服装、协调费用、利润、税金、管理费、风险费、文件规定政策性费用等所有费用。除上述费用外，采购人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、付款方式：按月支付，根据每月考核结果在次月</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日前向乙方一次性支付考核后的服务费（扣除费用除外）。乙方须先向（甲方）出具合法有效完整的完税发票及凭证资料，甲方再行支付合同款。</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 </w:t>
      </w:r>
      <w:r>
        <w:rPr>
          <w:rFonts w:ascii="宋体" w:hAnsi="宋体" w:eastAsia="宋体" w:cs="宋体"/>
          <w:color w:val="000000"/>
          <w:sz w:val="24"/>
        </w:rPr>
        <w:t xml:space="preserve">支付方式：服务费以银行转账形式支付。乙方收款账户信息如下：</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数字人民币账号（数币钱包</w:t>
      </w:r>
      <w:r>
        <w:rPr>
          <w:rFonts w:ascii="Times New Roman" w:hAnsi="Times New Roman" w:eastAsia="Times New Roman" w:cs="Times New Roman"/>
          <w:color w:val="000000"/>
          <w:sz w:val="24"/>
        </w:rPr>
        <w:t xml:space="preserve">ID</w:t>
      </w: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银行转账账号：账户名：</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开户行：</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乙方提请甲方款项结算前，需提供以下材料，因乙方未按约定提供以下材料的，甲方有权迟延付款，且不承担迟延付款责任：</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A、合法有效且符合甲方要求的销售发票。</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B、甲方对乙方提供的服务进行考核所形成的考核单证。</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除本合同特别约定外，根据现行税法对甲方征收的与本合同有关的一切税费均由甲方承担；根据现行税法对乙方征收的与本合同有关的一切税费均由乙方承担。</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3.履约保证金（中标金额的10%）：        万元，中标后，合同签订前缴纳。（缴纳方式：银行转账）。乙方按合同条款履约，合同终止后七个工作日内退回乙方指定账户。</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甲方账号：苏州市市级非税收入财政汇缴专户</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账户号：504058193068</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银行名称：中国银行苏州分行（汇款时请备注苏州市狮子林管理处）</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三、服务要求</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、服务地点：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、服务期限： 自   年  月  日至  年  月  日。</w:t>
      </w:r>
      <w:r/>
    </w:p>
    <w:p>
      <w:pPr>
        <w:ind w:left="0" w:right="0"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3、服务标准：详见采购文件。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、甲方违约责任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2.1  </w:t>
      </w:r>
      <w:r>
        <w:rPr>
          <w:rFonts w:ascii="宋体" w:hAnsi="宋体" w:eastAsia="宋体" w:cs="宋体"/>
          <w:color w:val="000000"/>
          <w:sz w:val="24"/>
        </w:rPr>
        <w:t xml:space="preserve">在合同生效后，甲方无故要求停止服务的，应向乙方支付本合同总金额的【</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作为违约金，违约金不足以弥补乙方损失的，乙方有权要求甲方补足。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2.2  </w:t>
      </w:r>
      <w:r>
        <w:rPr>
          <w:rFonts w:ascii="宋体" w:hAnsi="宋体" w:eastAsia="宋体" w:cs="宋体"/>
          <w:color w:val="000000"/>
          <w:sz w:val="24"/>
        </w:rPr>
        <w:t xml:space="preserve">甲方逾期付款的，应按照逾期付款金额的每天万分之四支付逾期付款违约金，但上述违约金总金额不得高于逾期付款金额的</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2.3  </w:t>
      </w:r>
      <w:r>
        <w:rPr>
          <w:rFonts w:ascii="宋体" w:hAnsi="宋体" w:eastAsia="宋体" w:cs="宋体"/>
          <w:color w:val="000000"/>
          <w:sz w:val="24"/>
        </w:rPr>
        <w:t xml:space="preserve">甲方违反合同约定，无正当理由拒绝接受乙方交付的合格服务的，应当承担由此给乙方造成的损失。</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、乙方违约责任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3.1  </w:t>
      </w:r>
      <w:r>
        <w:rPr>
          <w:rFonts w:ascii="宋体" w:hAnsi="宋体" w:eastAsia="宋体" w:cs="宋体"/>
          <w:color w:val="000000"/>
          <w:sz w:val="24"/>
        </w:rPr>
        <w:t xml:space="preserve">乙方不能提供服务（逾期超过</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小时视为不能提供服务），或提供的服务不合格从而影响甲方按期正常使用的，甲方有权解除合同，乙方应向甲方支付本合同总金额的【</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的违约金，违约金不足以弥补甲方一切直接、间接损失的，甲方有权要求乙方补足。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3.2  </w:t>
      </w:r>
      <w:r>
        <w:rPr>
          <w:rFonts w:ascii="宋体" w:hAnsi="宋体" w:eastAsia="宋体" w:cs="宋体"/>
          <w:color w:val="000000"/>
          <w:sz w:val="24"/>
        </w:rPr>
        <w:t xml:space="preserve">乙方逾期提供服务的，应在服务前与甲方协商，甲方仍需要的，乙方应立即提供服务并应按照逾期服务部分价款的每天万分之四支付逾期服务违约金，并赔偿甲方一切直接、间接损失。</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3.3  </w:t>
      </w:r>
      <w:r>
        <w:rPr>
          <w:rFonts w:ascii="宋体" w:hAnsi="宋体" w:eastAsia="宋体" w:cs="宋体"/>
          <w:color w:val="000000"/>
          <w:sz w:val="24"/>
        </w:rPr>
        <w:t xml:space="preserve">乙方在服务过程中向甲方提交虚假材料，不如实告知维护服务的具体情况，致使甲方产生损失的，甲方有权终止本合同，乙方应返还甲方已支付的服务费用并赔偿甲方一切直接、间接损失。</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3.4  </w:t>
      </w:r>
      <w:r>
        <w:rPr>
          <w:rFonts w:ascii="宋体" w:hAnsi="宋体" w:eastAsia="宋体" w:cs="宋体"/>
          <w:color w:val="000000"/>
          <w:sz w:val="24"/>
        </w:rPr>
        <w:t xml:space="preserve">乙方有其他违反本合同约定行为的，应向甲方支付本合同总金额【</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的违约金，违约金不足以弥补甲方一切直接、间接损失的，甲方有权要求乙方补足。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3.5  </w:t>
      </w:r>
      <w:r>
        <w:rPr>
          <w:rFonts w:ascii="宋体" w:hAnsi="宋体" w:eastAsia="宋体" w:cs="宋体"/>
          <w:color w:val="000000"/>
          <w:sz w:val="24"/>
        </w:rPr>
        <w:t xml:space="preserve">乙方应赔偿甲方的损失、支付给甲方的违约金以及其他依据本合同应支付给甲方的费用，甲方有权直接从未支付款项中予以扣除，不足部分有权要求乙方予以补足。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、不可抗力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rPr>
          <w:rFonts w:ascii="宋体" w:hAnsi="宋体" w:eastAsia="宋体" w:cs="宋体"/>
          <w:color w:val="000000"/>
          <w:sz w:val="24"/>
        </w:rPr>
        <w:t xml:space="preserve">因不可抗力不能履行合同的，根据不可抗力的影响，部分或者全部免除责任。但合同一方迟延履行后发生不可抗力的，不能免除责任。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4.2</w:t>
      </w:r>
      <w:r>
        <w:rPr>
          <w:rFonts w:ascii="宋体" w:hAnsi="宋体" w:eastAsia="宋体" w:cs="宋体"/>
          <w:color w:val="000000"/>
          <w:sz w:val="24"/>
        </w:rPr>
        <w:t xml:space="preserve">合同一方因不可抗力不能履行合同的，应当在不可抗力发生后</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日内通知对方，以减轻可能给对方造成的损失，并应当在发出通知后</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日内提供书面证明材料。</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4.3</w:t>
      </w:r>
      <w:r>
        <w:rPr>
          <w:rFonts w:ascii="宋体" w:hAnsi="宋体" w:eastAsia="宋体" w:cs="宋体"/>
          <w:color w:val="000000"/>
          <w:sz w:val="24"/>
        </w:rPr>
        <w:t xml:space="preserve">不可抗力事由消除后，合同继续履行等事项，由双方协商确认。</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五、合同的解除和转让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、合同的解除</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rPr>
          <w:rFonts w:ascii="宋体" w:hAnsi="宋体" w:eastAsia="宋体" w:cs="宋体"/>
          <w:color w:val="000000"/>
          <w:sz w:val="24"/>
        </w:rPr>
        <w:t xml:space="preserve">除《政府采购法》第</w:t>
      </w:r>
      <w:r>
        <w:rPr>
          <w:rFonts w:ascii="Times New Roman" w:hAnsi="Times New Roman" w:eastAsia="Times New Roman" w:cs="Times New Roman"/>
          <w:color w:val="000000"/>
          <w:sz w:val="24"/>
        </w:rPr>
        <w:t xml:space="preserve">49</w:t>
      </w:r>
      <w:r>
        <w:rPr>
          <w:rFonts w:ascii="宋体" w:hAnsi="宋体" w:eastAsia="宋体" w:cs="宋体"/>
          <w:color w:val="000000"/>
          <w:sz w:val="24"/>
        </w:rPr>
        <w:t xml:space="preserve">条、第</w:t>
      </w:r>
      <w:r>
        <w:rPr>
          <w:rFonts w:ascii="Times New Roman" w:hAnsi="Times New Roman" w:eastAsia="Times New Roman" w:cs="Times New Roman"/>
          <w:color w:val="000000"/>
          <w:sz w:val="24"/>
        </w:rPr>
        <w:t xml:space="preserve">50</w:t>
      </w:r>
      <w:r>
        <w:rPr>
          <w:rFonts w:ascii="宋体" w:hAnsi="宋体" w:eastAsia="宋体" w:cs="宋体"/>
          <w:color w:val="000000"/>
          <w:sz w:val="24"/>
        </w:rPr>
        <w:t xml:space="preserve">条第二款规定的情形及本合同约定的情形外，本合同签订后，甲乙双方不得擅自变更、解除或终止本合同。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有下列情形之一的，合同一方可以解除合同：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1.2.1 </w:t>
      </w:r>
      <w:r>
        <w:rPr>
          <w:rFonts w:ascii="宋体" w:hAnsi="宋体" w:eastAsia="宋体" w:cs="宋体"/>
          <w:color w:val="000000"/>
          <w:sz w:val="24"/>
        </w:rPr>
        <w:t xml:space="preserve">因不可抗力致使不能实现合同目的，未受不可抗力影响的一方有权解除合同；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1.2.2 </w:t>
      </w:r>
      <w:r>
        <w:rPr>
          <w:rFonts w:ascii="宋体" w:hAnsi="宋体" w:eastAsia="宋体" w:cs="宋体"/>
          <w:color w:val="000000"/>
          <w:sz w:val="24"/>
        </w:rPr>
        <w:t xml:space="preserve">因合同一方违约导致合同不能履行，另一方有权解除合同；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rPr>
          <w:rFonts w:ascii="宋体" w:hAnsi="宋体" w:eastAsia="宋体" w:cs="宋体"/>
          <w:color w:val="000000"/>
          <w:sz w:val="24"/>
        </w:rPr>
        <w:t xml:space="preserve">有权解除合同的一方，应当在违约事实或不可抗力发生之后三十天内书面通知对方以主张解除合同，合同在书面通知到达对方时解除。</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、合同的转让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合同的部分或全部内容均不得转让。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六、争议解决</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因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、本合同经甲乙双方法定（授权）代表人签字（或盖章）并加盖单位公章后生效。</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、合同份数：本合同一式【陆】份，甲方执【叁】份，乙方执【叁】份，具有同等法律效力。</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本合同未尽事宜应按《中华人民共和国民法典》《中华人民共和国政府采购法》以及其他相关法律、法规之规定解释，并由双方在不违背本合同和采购文件的原则下协商解决，协商结果以书面形式盖章记录，作为本合同的附件，与本合同具有同等法律效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 本合同首部载明的地址为甲乙双方认可的相关文件、法律文书送达地址，任何一方如需更换地址的，应在变更后</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日内书面通知另一方，未通知的一方自行承担法院送达不能等不利后果。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、其他约定：无。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（以下无正文）</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法定（授权）代表人（签章）：</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乙方（盖章）：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 </w:t>
      </w:r>
      <w:r/>
    </w:p>
    <w:p>
      <w:pPr>
        <w:ind w:left="0" w:right="0" w:firstLine="48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附件：月度考核标准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（一）管理服务人员考核办法（下文中</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分为</w:t>
      </w:r>
      <w:r>
        <w:rPr>
          <w:rFonts w:ascii="Times New Roman" w:hAnsi="Times New Roman" w:eastAsia="Times New Roman" w:cs="Times New Roman"/>
          <w:color w:val="000000"/>
          <w:sz w:val="24"/>
        </w:rPr>
        <w:t xml:space="preserve">500</w:t>
      </w:r>
      <w:r>
        <w:rPr>
          <w:rFonts w:ascii="宋体" w:hAnsi="宋体" w:eastAsia="宋体" w:cs="宋体"/>
          <w:color w:val="000000"/>
          <w:sz w:val="24"/>
        </w:rPr>
        <w:t xml:space="preserve">元）</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第一条：驻场管理人员工作期间，必须为人正派，严以律己，率先垂范，具有职业道德和责任感，服从采购人工作安排，履责到位，主动作为。违反者，第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次给予批评教育，责令改正；第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分，同时，采购人有权责令更换管理人员。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第二条：驻场管理人员按时到岗，不能无故迟到、早退、旷工、擅离职守或因特殊情况未给采购人请假报备。违反者，第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分，责令改正，同时，采购人有权责令更换管理人员。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第三条：驻场管理人员，工作过程中发现问题不及时、处理问题不积极或不彻底，对工作造成影响。违反者，第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分，同时，采购人有权责令更换管理人员。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第四条：驻场管理人员，应建章立制，完整建立工作台账制度，内容详实完整，资料包括但不限于文字、表格、图片、影像材料，确保各项数据准确。违反者，第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（二）其他服务人员考核办法</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第一条：服务人员应服从采购人工作安排，无正当理由，不服从工作管理、工作不认真、拖沓、懈怠或出现互相推诿，违反者，第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分，给予批评教育，责令改正；第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第二条：服务人员应加强自我管理，自我约束，规范工作程序，严格按制度办事，不按规章制度办事或越级、跨部门反映问题。违反者，第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分，给予批评教育，责令改正；第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第三条：服务人员应严格遵守国家各项法律法规和单位规章制度。违反者，扣减月度考核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分，给予批评教育，责令改正；情节严重，扣减月度考核</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分，触犯法律的，提交司法机关依法处理；同时，采购人有权责令更换相关人员。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第四条：服务人员应廉洁自律、秉公办事，严禁利用或通过工作便利直接或间接收受相关人员财物，谋取私利。违反者</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扣减月度考核</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分，情节严重，触犯法律的，提交司法机关依法处理；同时，采购人有权责令更换相关人员。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第五条：服务人员工作期间，按照标准统一着装，工装整洁，工作牌佩戴端正，不留长指甲、不涂抹有颜色指甲、禁止染发，衣冠得体。违反者，第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分，给予批评教育，责令改正；第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分，责令作出书面检查；第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次及以上者，扣减月度考核</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第六条：服务人员工作期间，坚持微笑服务、使用普通话，使用文明用语，做到热心服务、爱心服务、耐心服务、文明服务。违反者，第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分，责令改正；第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第七条：服务人员应按时到岗，迟到或早退</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分钟内，扣减月度考核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分，给予批评教育；迟到或早退</w:t>
      </w:r>
      <w:r>
        <w:rPr>
          <w:rFonts w:ascii="Times New Roman" w:hAnsi="Times New Roman" w:eastAsia="Times New Roman" w:cs="Times New Roman"/>
          <w:color w:val="000000"/>
          <w:sz w:val="24"/>
        </w:rPr>
        <w:t xml:space="preserve">30</w:t>
      </w:r>
      <w:r>
        <w:rPr>
          <w:rFonts w:ascii="宋体" w:hAnsi="宋体" w:eastAsia="宋体" w:cs="宋体"/>
          <w:color w:val="000000"/>
          <w:sz w:val="24"/>
        </w:rPr>
        <w:t xml:space="preserve">分钟至</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小时以内，扣减月度考核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分；迟到或早退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小时以上或无故旷工，扣减月度考核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第八条：服务人员必须按照工作班表到岗，未经批准，不得私自拉班、顶班、换班、串岗、脱岗。违反者，第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分，责令改正；第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分（正常工作变动，需提前报备采购人现场组长知晓）。</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第九条：服务人员工作期间，禁止从事与工作无关之事，切实维护采购人和自身良好形象，如出现大声喧哗、嬉闹、聊天、玩手机、翘腿、吃东西等，第</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分，给予批评教育；第</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分，责令改正；第</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第十条；服务人员随时保持工作区域内视觉清爽，干净卫生，物品摆放整洁。如出现自行损坏设施设备或物品正常损坏后上报不及时、物品乱丢乱放、环境脏乱差，扣减月度考核</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分，赔偿物品损失，给予批评教育，责令改正；出现</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次及以上，扣减月度考核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第十一条：服务人员因自身原因或服务态度差被游客反映或投诉。违反者，扣减月度考核</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分，给予批评教育，作出书面检查，责令改正；如情节严重者，被上级单位点名批评或被新闻媒体曝光，扣减月度考核</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第十二条：服务人员应共同营造团队和谐、队伍稳定的良好工作氛围，不搬弄是非、挑拨同事关系、散播不实言论。违反者，扣减月度考核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分，给予批评教育。情节严重者，扣减月度考核</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分；同时，采购人有权责令更换相关人员。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第十三条：服务人员工作期间，无视、淡漠游客合理诉求或未及时提供力所能及的帮助。违反者，扣减月度考核</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分。</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第十四条：服务人员应严格遵守执行《苏州园林景点优惠政策》，严格执行验证、验票入园规定，杜绝出现漏票行为；私自收取游客钱财、不刷票或少刷游客入园有效凭证，随意放人入园，扣减月度考核</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分，采购人有权责令更换相关人员；如情节严重，移交司法机关，依法追究法律责任。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第十五条：服务人员应严格遵守执行《苏州园林景点优惠政策》，严禁利用工作便利进行里应外合、内外勾结、暗中随意放人入园。违反者，扣减月度考核</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分，按照流失票款总金额的</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倍至</w:t>
      </w:r>
      <w:r>
        <w:rPr>
          <w:rFonts w:ascii="Times New Roman" w:hAnsi="Times New Roman" w:eastAsia="Times New Roman" w:cs="Times New Roman"/>
          <w:color w:val="000000"/>
          <w:sz w:val="24"/>
        </w:rPr>
        <w:t xml:space="preserve">20</w:t>
      </w:r>
      <w:r>
        <w:rPr>
          <w:rFonts w:ascii="宋体" w:hAnsi="宋体" w:eastAsia="宋体" w:cs="宋体"/>
          <w:color w:val="000000"/>
          <w:sz w:val="24"/>
        </w:rPr>
        <w:t xml:space="preserve">倍进行赔偿，如涉及票款流失金额较大或情节特别严重者，将当事人移交司法机关处理，如造成严重的经济问题或严重负面影响，采购人有权提前终止合同，并追究中标人法律责任。</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第十六条：服务外包工作人员，在工作中受到游客表扬，发挥模范引领作用，给予加</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分；讲解员积极参与各项讲解比赛，获得相应奖项，给予加</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至</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分。</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6"/>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五、附件格式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w:t>
      </w:r>
      <w:r>
        <w:rPr>
          <w:rFonts w:ascii="宋体" w:hAnsi="宋体" w:eastAsia="宋体" w:cs="宋体"/>
          <w:b/>
          <w:color w:val="000000"/>
          <w:spacing w:val="20"/>
          <w:sz w:val="24"/>
        </w:rPr>
        <w:t xml:space="preserve">磋商声明书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磋商声明书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磋商响应单位全权代表：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苏州骏捷建设管理咨询有限公司：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我们收到你们</w:t>
      </w:r>
      <w:r>
        <w:rPr>
          <w:rFonts w:hint="eastAsia" w:ascii="宋体" w:hAnsi="宋体" w:cs="宋体"/>
          <w:color w:val="000000"/>
          <w:sz w:val="24"/>
          <w:lang w:eastAsia="zh-CN"/>
        </w:rPr>
        <w:t xml:space="preserve">JSZC-320500-SZJJ-C2025-0053</w:t>
      </w:r>
      <w:r>
        <w:rPr>
          <w:rFonts w:ascii="宋体" w:hAnsi="宋体" w:eastAsia="宋体" w:cs="宋体"/>
          <w:color w:val="000000"/>
          <w:sz w:val="24"/>
        </w:rPr>
        <w:t xml:space="preserve">号磋商采购文件，经仔细阅读和研究，我们决定参加磋商。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1、我们愿意按照磋商采购文件的一切要求，提供本次采购的</w:t>
      </w:r>
      <w:r>
        <w:rPr>
          <w:rFonts w:ascii="宋体" w:hAnsi="宋体" w:eastAsia="宋体" w:cs="宋体"/>
          <w:color w:val="000000"/>
          <w:sz w:val="24"/>
          <w:u w:val="single"/>
        </w:rPr>
        <w:t xml:space="preserve">狮子林检票等一线服务外包项目,</w:t>
      </w:r>
      <w:r>
        <w:rPr>
          <w:rFonts w:ascii="宋体" w:hAnsi="宋体" w:eastAsia="宋体" w:cs="宋体"/>
          <w:color w:val="000000"/>
          <w:sz w:val="24"/>
        </w:rPr>
        <w:t xml:space="preserve">服务总价格及明细见《磋商响应报价表》。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2、如果我们的响应文件被接受，我们将严格履行磋商采购文件中规定的每一项要求，按期、按质、按量履行服务义务。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3、我们同意按磋商采购文件中的规定，本响应文件的有效期限为自开标之日起60日。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4、我们愿意提供采购人在磋商采购文件中要求的所有资料。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5、我方愿意遵守磋商采购文件中所列的收费标准。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6、我方在磋商响应文件和磋商中所作的承诺在磋商后保持有效，不作任何更改和变动。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7、我们愿意按磋商采购文件的规定交纳</w:t>
      </w:r>
      <w:r>
        <w:rPr>
          <w:rFonts w:ascii="宋体" w:hAnsi="宋体" w:eastAsia="宋体" w:cs="宋体"/>
          <w:color w:val="000000"/>
          <w:sz w:val="24"/>
          <w:u w:val="single"/>
        </w:rPr>
        <w:t xml:space="preserve">  /  </w:t>
      </w:r>
      <w:r>
        <w:rPr>
          <w:rFonts w:ascii="宋体" w:hAnsi="宋体" w:eastAsia="宋体" w:cs="宋体"/>
          <w:color w:val="000000"/>
          <w:sz w:val="24"/>
        </w:rPr>
        <w:t xml:space="preserve">元的磋商保证金。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8、如我方成为成交单位，我方愿意在领取成交通知书时按采购文件要求向代理机构支付成交服务费。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9、我们愿意按照《中华人民共和国民法典》履行自己应该承担的全部责任。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10、我们保证全部磋商响应文件内容真实有效，若有虚假，我公司愿意承担与此相关的一切责任。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11、综合说明：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（1）伴随服务及配合措施；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（2）要求采购单位提供的配合；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（3）对磋商采购文件有不同意见的偏离说明；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（4）其它说明；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所有有关标书的函电，请按下列地址联系：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单位：邮编：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开户名称：电话：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开户账号：</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附件2：（磋商响应单位）法定代表人授权委托书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法定代表人授权委托书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0" w:right="0" w:firstLine="2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w:t>
      </w:r>
      <w:r>
        <w:rPr>
          <w:rFonts w:ascii="宋体" w:hAnsi="宋体" w:eastAsia="宋体" w:cs="宋体"/>
          <w:color w:val="000000"/>
          <w:sz w:val="24"/>
          <w:u w:val="single"/>
        </w:rPr>
        <w:t xml:space="preserve">（姓名）</w:t>
      </w:r>
      <w:r>
        <w:rPr>
          <w:rFonts w:ascii="宋体" w:hAnsi="宋体" w:eastAsia="宋体" w:cs="宋体"/>
          <w:color w:val="000000"/>
          <w:sz w:val="24"/>
        </w:rPr>
        <w:t xml:space="preserve">系</w:t>
      </w:r>
      <w:r>
        <w:rPr>
          <w:rFonts w:ascii="宋体" w:hAnsi="宋体" w:eastAsia="宋体" w:cs="宋体"/>
          <w:color w:val="000000"/>
          <w:sz w:val="24"/>
          <w:u w:val="single"/>
        </w:rPr>
        <w:t xml:space="preserve">（磋商响应单位名称）</w:t>
      </w:r>
      <w:r>
        <w:rPr>
          <w:rFonts w:ascii="宋体" w:hAnsi="宋体" w:eastAsia="宋体" w:cs="宋体"/>
          <w:color w:val="000000"/>
          <w:sz w:val="24"/>
        </w:rPr>
        <w:t xml:space="preserve">的法定代表人，现授权委托</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（姓名）</w:t>
      </w:r>
      <w:r>
        <w:rPr>
          <w:rFonts w:ascii="宋体" w:hAnsi="宋体" w:eastAsia="宋体" w:cs="宋体"/>
          <w:color w:val="000000"/>
          <w:sz w:val="24"/>
        </w:rPr>
        <w:t xml:space="preserve">为我公司委托代理人，以本公司的名义参加苏州骏捷建设管理咨询有限公司组织实施的编号为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号的磋商采购活动。委托代理人在报名、制作磋商响应文件、磋商、评标、合同磋商过程中所签署的一切文件和处理与这有关的一切事务，我均予以承认。</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委托代理人在授权委托书有效期内签署的所有文件不因授权委托的撤销而失效，除非有撤销授权委托的书面通知，本授权委托书自签署之时起至合同履行完毕止。</w:t>
      </w:r>
      <w:r/>
    </w:p>
    <w:p>
      <w:pPr>
        <w:ind w:left="0" w:right="0" w:firstLine="583"/>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委托代理人无转委托权。特此委托。</w:t>
      </w:r>
      <w:r/>
    </w:p>
    <w:p>
      <w:pPr>
        <w:ind w:left="0" w:right="0" w:firstLine="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磋商响应单位：（公章）</w:t>
      </w:r>
      <w:r/>
    </w:p>
    <w:p>
      <w:pPr>
        <w:ind w:left="0" w:right="0" w:firstLine="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0" w:right="0" w:firstLine="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委托代理人：（签字或盖章）</w:t>
      </w:r>
      <w:r/>
    </w:p>
    <w:p>
      <w:pPr>
        <w:ind w:left="0" w:right="480" w:firstLine="2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48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附件3：磋商响应报价表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磋商响应报价表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磋商项目名称：磋商编号</w:t>
      </w:r>
      <w:r>
        <w:rPr>
          <w:rFonts w:hint="eastAsia" w:ascii="宋体" w:hAnsi="宋体" w:cs="宋体"/>
          <w:color w:val="000000"/>
          <w:sz w:val="24"/>
          <w:lang w:eastAsia="zh-CN"/>
        </w:rPr>
        <w:t xml:space="preserve">JSZC-320500-SZJJ-C2025-0053</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2522"/>
        <w:gridCol w:w="1865"/>
        <w:gridCol w:w="1380"/>
        <w:gridCol w:w="1067"/>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3" w:type="dxa"/>
            <w:vAlign w:val="center"/>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磋商总报价（人民币大写）：                    ￥：</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磋商总价包括完成本项工作所需的设备、人工（含人员保险费用）、服装、协调费用、利润、税金、管理费、风险费、文件规定政策性费用等所有费用。除上述费用外，采购人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法定代表人或委托代理人：（签字或盖章）日期：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磋商响应报价分析表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采购编号：项目名称：</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单位：元</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
        <w:gridCol w:w="1762"/>
        <w:gridCol w:w="1011"/>
        <w:gridCol w:w="1912"/>
        <w:gridCol w:w="2063"/>
        <w:gridCol w:w="1613"/>
      </w:tblGrid>
      <w:tr>
        <w:trPr>
          <w:trHeight w:val="970"/>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服务时间</w:t>
            </w:r>
            <w:r/>
          </w:p>
        </w:tc>
      </w:tr>
      <w:tr>
        <w:trPr>
          <w:trHeight w:val="12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7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14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99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62"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01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9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06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61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注：投标单位可根据实际情况自行调整表格内容</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投标单位：（盖公章）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附件4：服务偏离表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06"/>
        <w:gridCol w:w="1360"/>
        <w:gridCol w:w="1214"/>
        <w:gridCol w:w="1447"/>
        <w:gridCol w:w="147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0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3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1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72"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注：1、磋商响应单位应对照采购文件技术要求等要求，所投标的物（服务）与采购文件的规定有偏离的，应在此表中申明与技术要求条文的偏差和例外。</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磋商响应单位：（单位盖章）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rPr>
          <w:rFonts w:ascii="宋体" w:hAnsi="宋体" w:eastAsia="宋体" w:cs="宋体"/>
          <w:color w:val="000000"/>
          <w:sz w:val="24"/>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附件5.商务条款偏离表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商务条款偏离表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667"/>
        <w:gridCol w:w="2074"/>
        <w:gridCol w:w="2074"/>
        <w:gridCol w:w="149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3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74"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93" w:type="dxa"/>
            <w:vAlign w:val="top"/>
            <w:textDirection w:val="lrTb"/>
            <w:noWrap w:val="false"/>
          </w:tcPr>
          <w:p>
            <w:pPr>
              <w:ind w:left="0" w:right="0" w:firstLine="0"/>
              <w:jc w:val="both"/>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磋商响应单位：（单位盖章）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附件6.磋商响应单位类似项目一览表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磋商响应单位类似项目一览表</w:t>
      </w:r>
      <w:r/>
    </w:p>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磋商项目名称：磋商编号：</w:t>
      </w:r>
      <w:r>
        <w:rPr>
          <w:rFonts w:hint="eastAsia" w:ascii="宋体" w:hAnsi="宋体" w:cs="宋体"/>
          <w:color w:val="000000"/>
          <w:sz w:val="24"/>
          <w:lang w:eastAsia="zh-CN"/>
        </w:rPr>
        <w:t xml:space="preserve">JSZC-320500-SZJJ-C2025-0053</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磋商响应单位（盖章）：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609"/>
        <w:gridCol w:w="1607"/>
        <w:gridCol w:w="1903"/>
        <w:gridCol w:w="1680"/>
        <w:gridCol w:w="1459"/>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113" w:right="113"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法定代表人或委托代理人：（签字或盖章）日期：</w:t>
      </w:r>
      <w:r/>
    </w:p>
    <w:p>
      <w:pPr>
        <w:ind w:left="420" w:right="357" w:hanging="400"/>
        <w:jc w:val="both"/>
        <w:spacing w:before="1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附件7：资格证明文件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(1)关于资格文件的声明函</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关于资格文件的声明函</w:t>
      </w:r>
      <w:r/>
    </w:p>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磋商响应单位须知要求中“合格磋商供应商一般条件”的资格要求。若与真实情况不符，本公司愿意承担由此而产生的一切后果。</w:t>
      </w:r>
      <w:r/>
    </w:p>
    <w:p>
      <w:pPr>
        <w:ind w:left="0" w:right="0" w:firstLine="66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rPr>
          <w:rFonts w:ascii="宋体" w:hAnsi="宋体" w:eastAsia="宋体" w:cs="宋体"/>
          <w:color w:val="000000"/>
          <w:sz w:val="24"/>
        </w:rPr>
        <w:tab/>
      </w:r>
      <w:r>
        <w:rPr>
          <w:rFonts w:ascii="宋体" w:hAnsi="宋体" w:eastAsia="宋体" w:cs="宋体"/>
          <w:color w:val="000000"/>
          <w:sz w:val="24"/>
        </w:rPr>
        <w:tab/>
      </w:r>
      <w:r>
        <w:rPr>
          <w:rFonts w:ascii="宋体" w:hAnsi="宋体" w:eastAsia="宋体" w:cs="宋体"/>
          <w:color w:val="000000"/>
          <w:sz w:val="24"/>
        </w:rPr>
        <w:tab/>
      </w:r>
      <w:r>
        <w:rPr>
          <w:rFonts w:ascii="宋体" w:hAnsi="宋体" w:eastAsia="宋体" w:cs="宋体"/>
          <w:color w:val="000000"/>
          <w:sz w:val="24"/>
        </w:rPr>
        <w:t xml:space="preserve">磋商响应单位法定代表人或委托代理人：（签字或盖章）</w:t>
      </w:r>
      <w:r/>
    </w:p>
    <w:p>
      <w:pPr>
        <w:ind w:left="1700" w:right="0" w:firstLine="425"/>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磋商响应单位：（公章）</w:t>
      </w:r>
      <w:r/>
    </w:p>
    <w:p>
      <w:pPr>
        <w:ind w:left="4675" w:right="0" w:firstLine="425"/>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w:t>
      </w:r>
      <w:r>
        <w:rPr>
          <w:rFonts w:ascii="宋体" w:hAnsi="宋体" w:eastAsia="宋体" w:cs="宋体"/>
          <w:color w:val="000000"/>
          <w:sz w:val="24"/>
        </w:rPr>
        <w:tab/>
      </w:r>
      <w:r>
        <w:rPr>
          <w:rFonts w:ascii="宋体" w:hAnsi="宋体" w:eastAsia="宋体" w:cs="宋体"/>
          <w:color w:val="000000"/>
          <w:sz w:val="24"/>
        </w:rPr>
        <w:t xml:space="preserve">月</w:t>
      </w:r>
      <w:r>
        <w:rPr>
          <w:rFonts w:ascii="宋体" w:hAnsi="宋体" w:eastAsia="宋体" w:cs="宋体"/>
          <w:color w:val="000000"/>
          <w:sz w:val="24"/>
        </w:rPr>
        <w:tab/>
      </w:r>
      <w:r>
        <w:rPr>
          <w:rFonts w:ascii="宋体" w:hAnsi="宋体" w:eastAsia="宋体" w:cs="宋体"/>
          <w:color w:val="000000"/>
          <w:sz w:val="24"/>
        </w:rPr>
        <w:t xml:space="preserve">日</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（2）响应单位资格承诺书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响应单位资格承诺书</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响应单位：（公章）采购编号：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2688"/>
        <w:gridCol w:w="1147"/>
        <w:gridCol w:w="3252"/>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磋商响应单位部分资格要求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是否完全满足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详见采购文件</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合格磋商响应单位的特定条件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如涉及</w:t>
            </w:r>
            <w:r/>
          </w:p>
        </w:tc>
      </w:tr>
    </w:tbl>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响应单位（公章）：</w:t>
      </w:r>
      <w:r/>
    </w:p>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(3)磋商响应单位情况表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磋商响应单位情况表</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单位名称：（公章）</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2"/>
        <w:gridCol w:w="2000"/>
        <w:gridCol w:w="1447"/>
        <w:gridCol w:w="1165"/>
        <w:gridCol w:w="15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216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2024年万元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自有面积平方米</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单位简历及内设机构情况</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参加政府采购活动前三年内，在经营活动中有无重大违法记录情况及说明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8"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(3)投标人与其他单位存在控股、管理关系情况表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投标人与其他单位存在控股、管理关系情况表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9"/>
        <w:gridCol w:w="480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与投标人存在控股、管理关系的单位名称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bl>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注：投标人须如实填写所有与之有控股、管理关系的情况。</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响应单位（公章）：</w:t>
      </w:r>
      <w:r/>
    </w:p>
    <w:p>
      <w:pPr>
        <w:ind w:left="0" w:right="0" w:firstLine="3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附件8：中小企业声明函（参考格式）</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中小企业声明函（服务） </w:t>
      </w:r>
      <w:r/>
    </w:p>
    <w:p>
      <w:pPr>
        <w:ind w:left="0" w:right="0" w:firstLine="48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本公司（或联合体）郑重声明，根据《政府采购促进中小企业发展管理办法》（财库﹝2020﹞46 号）的规定，本公司 （或联合体）参加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采购活动，服务全部由符合政策要求的中小企业承接。相关企业（含联合体中的中小企业、签订分包意向协议的中小企业）的具体情况如下： </w:t>
      </w:r>
      <w:r/>
    </w:p>
    <w:p>
      <w:pPr>
        <w:ind w:left="0" w:right="0" w:firstLine="48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 承建（承接）企业为</w:t>
      </w:r>
      <w:r>
        <w:rPr>
          <w:rFonts w:ascii="宋体" w:hAnsi="宋体" w:eastAsia="宋体" w:cs="宋体"/>
          <w:color w:val="000000"/>
          <w:sz w:val="24"/>
          <w:u w:val="single"/>
        </w:rPr>
        <w:t xml:space="preserve">  （企业名称）</w:t>
      </w:r>
      <w:r>
        <w:rPr>
          <w:rFonts w:ascii="宋体" w:hAnsi="宋体" w:eastAsia="宋体" w:cs="宋体"/>
          <w:color w:val="000000"/>
          <w:sz w:val="24"/>
        </w:rPr>
        <w:t xml:space="preserve">，从业人员人，营业收入为万元，资产总额为万元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小型企业、微型企业）</w:t>
      </w:r>
      <w:r>
        <w:rPr>
          <w:rFonts w:ascii="宋体" w:hAnsi="宋体" w:eastAsia="宋体" w:cs="宋体"/>
          <w:color w:val="000000"/>
          <w:sz w:val="24"/>
        </w:rPr>
        <w:t xml:space="preserve">； </w:t>
      </w:r>
      <w:r/>
    </w:p>
    <w:p>
      <w:pPr>
        <w:ind w:left="0" w:right="0" w:firstLine="48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4"/>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484"/>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w:t>
      </w:r>
      <w:r/>
    </w:p>
    <w:p>
      <w:pPr>
        <w:ind w:left="0" w:right="0" w:firstLine="44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2.中小企业划分标准详见“工信部联企业〔2011〕300号通知” 中的《中小企业划型标准规定》”。</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3.如磋商响应单位认定本企业为小型或微型企业，则需根据“工信部联企业〔2011〕300号”通知中的《中小企业划型标准规定》填报“中小企业声明函”。</w:t>
      </w:r>
      <w:r/>
    </w:p>
    <w:p>
      <w:pPr>
        <w:ind w:left="0" w:right="0" w:firstLine="48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4.若磋商响应单位提供的“中小企业声明函”内容不实的，属于提供虚假材料谋取中标、成交，依照《中华人民共和国政府采购法》等国家有关规定追究相应责任。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4"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附件9：残疾人福利性单位声明函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t xml:space="preserve">残疾人福利性单位声明函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t xml:space="preserve"> </w:t>
      </w:r>
      <w:r/>
    </w:p>
    <w:p>
      <w:pPr>
        <w:ind w:left="0" w:right="0" w:firstLine="5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本单位郑重声明，根据《财政部民政部中国残疾人联合会关于促进残疾人就业政府采购政策的通知》（财库</w:t>
      </w:r>
      <w:r>
        <w:rPr>
          <w:rFonts w:ascii="宋体" w:hAnsi="宋体" w:eastAsia="宋体" w:cs="宋体"/>
          <w:color w:val="000000"/>
          <w:sz w:val="24"/>
        </w:rPr>
        <w:t xml:space="preserve">〔2017〕141</w:t>
      </w:r>
      <w:r>
        <w:rPr>
          <w:rFonts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本单位对上述声明的真实性负责。如有虚假，将依法承担相应责任。</w:t>
      </w:r>
      <w:r/>
    </w:p>
    <w:p>
      <w:pPr>
        <w:ind w:left="0" w:right="0" w:firstLine="5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50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1560" w:firstLine="504"/>
        <w:jc w:val="center"/>
        <w:spacing w:before="0" w:after="0" w:line="85"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单位名称（盖章）：</w:t>
      </w:r>
      <w:r/>
    </w:p>
    <w:p>
      <w:pPr>
        <w:ind w:left="0" w:right="1560" w:firstLine="504"/>
        <w:jc w:val="center"/>
        <w:spacing w:before="0" w:after="0" w:line="85"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日期：</w:t>
      </w:r>
      <w:r/>
    </w:p>
    <w:p>
      <w:pPr>
        <w:ind w:left="0" w:right="0" w:firstLine="37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备注：</w:t>
      </w:r>
      <w:r>
        <w:rPr>
          <w:rFonts w:ascii="宋体" w:hAnsi="宋体" w:eastAsia="宋体" w:cs="宋体"/>
          <w:color w:val="000000"/>
          <w:spacing w:val="6"/>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附件10：监狱企业声明函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监狱企业声明函</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本企业（单位）郑重声明下列事项（按照实际情况勾选或填空）：</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本企业（单位）为直接投标人提供本企业（单位）的服务。</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（1）本企业（单位）（请填写：是、不是）监狱企业。后附省级以上监狱管理局、戒毒管理局（含新疆生产建设兵团）出具的属于监狱企业的证明文件。</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（2）本企业（单位）（请填写：是、不是）为联合体一方，提供本企业（单位）的服务。本企业（单位）提供协议合同金额占到共同投标协议合同总金额的比例为。</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本企业（单位）对上述声明的真实性负责。如有虚假，将依法承担相应责任。</w:t>
      </w:r>
      <w:r/>
    </w:p>
    <w:p>
      <w:pPr>
        <w:ind w:left="0" w:right="0" w:firstLine="48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0"/>
        <w:jc w:val="both"/>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投标人签章：</w:t>
      </w:r>
      <w:r>
        <w:rPr>
          <w:rFonts w:ascii="宋体" w:hAnsi="宋体" w:eastAsia="宋体" w:cs="宋体"/>
          <w:color w:val="000000"/>
          <w:sz w:val="24"/>
          <w:u w:val="single"/>
        </w:rPr>
        <w:t xml:space="preserve">         </w:t>
      </w:r>
      <w:r/>
    </w:p>
    <w:p>
      <w:pPr>
        <w:ind w:left="0" w:right="0" w:firstLine="4920"/>
        <w:spacing w:before="75" w:after="75" w:line="43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4"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附件11：投标（响应）保证承诺书</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投标（响应）保证承诺书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（采购代理机构名称）</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我（单位/本人，以下统称我单位）自愿参加</w:t>
      </w:r>
      <w:r>
        <w:rPr>
          <w:rFonts w:ascii="宋体" w:hAnsi="宋体" w:eastAsia="宋体" w:cs="宋体"/>
          <w:color w:val="000000"/>
          <w:sz w:val="24"/>
          <w:u w:val="single"/>
        </w:rPr>
        <w:t xml:space="preserve">              （项目名称和采购编号）</w:t>
      </w:r>
      <w:r>
        <w:rPr>
          <w:rFonts w:ascii="宋体" w:hAnsi="宋体" w:eastAsia="宋体" w:cs="宋体"/>
          <w:color w:val="000000"/>
          <w:sz w:val="24"/>
        </w:rPr>
        <w:t xml:space="preserve">的投标（响应）,并做出如下承诺：</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  除不可抗力外，我单位如果发生以下行为，将在行为发生的10个工作日内，向贵方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支付本采购文件公布的预算金额（或最高限价）的2%作为违约赔偿金（数量不确定的单价采购须约定具体金额）。</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1.自投标（响应）截止时间至本项目发布中标（成交）公告为止，撤销投标（响应）；</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2.中标（成交）后不依法与采购人签订合同；</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3.中标（成交）后不按本采购文件规定向采购人提交履约保证金（如有）；</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4.中标（成交）后不按本采购文件规定向贵方缴纳采购代理费。</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  我单位知晓上述行为的法律后果，承认本承诺书作为贵方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要求我单位履行违约赔偿义务的依据作用。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投标（响应）人（盖公章）：</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电子邮件：</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法定代表人或委托代理人(签字或签章)：</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left="525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（全文完）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r/>
      <w:r/>
    </w:p>
    <w:sectPr>
      <w:headerReference w:type="default" r:id="rId9"/>
      <w:headerReference w:type="first" r:id="rId10"/>
      <w:footerReference w:type="default" r:id="rId11"/>
      <w:footerReference w:type="even" r:id="rId12"/>
      <w:footnotePr/>
      <w:endnotePr/>
      <w:type w:val="nextPage"/>
      <w:pgSz w:w="11906" w:h="16838" w:orient="portrait"/>
      <w:pgMar w:top="992" w:right="1134" w:bottom="1134" w:left="1134" w:header="510" w:footer="44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Cambria">
    <w:panose1 w:val="02040503050406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szCs w:val="21"/>
      </w:rPr>
      <w:pBdr>
        <w:between w:val="none" w:color="000000" w:sz="0" w:space="0"/>
      </w:pBdr>
      <w:framePr w:wrap="around" w:vAnchor="text" w:hAnchor="margin" w:xAlign="center" w:y="1"/>
    </w:pPr>
    <w:r>
      <w:rPr>
        <w:rStyle w:val="944"/>
        <w:rFonts w:hint="eastAsia"/>
        <w:szCs w:val="21"/>
      </w:rPr>
      <w:fldChar w:fldCharType="begin"/>
    </w:r>
    <w:r>
      <w:rPr>
        <w:rStyle w:val="944"/>
        <w:rFonts w:hint="eastAsia"/>
        <w:szCs w:val="21"/>
      </w:rPr>
      <w:instrText xml:space="preserve"> PAGE  </w:instrText>
    </w:r>
    <w:r>
      <w:rPr>
        <w:rStyle w:val="944"/>
        <w:rFonts w:hint="eastAsia"/>
        <w:szCs w:val="21"/>
      </w:rPr>
      <w:fldChar w:fldCharType="separate"/>
    </w:r>
    <w:r>
      <w:rPr>
        <w:rStyle w:val="944"/>
        <w:szCs w:val="21"/>
      </w:rPr>
      <w:t xml:space="preserve">- 44 -</w:t>
    </w:r>
    <w:r>
      <w:rPr>
        <w:rStyle w:val="944"/>
        <w:rFonts w:hint="eastAsia"/>
        <w:szCs w:val="21"/>
      </w:rPr>
      <w:fldChar w:fldCharType="end"/>
    </w:r>
    <w:r/>
  </w:p>
  <w:p>
    <w:pPr>
      <w:pStyle w:val="930"/>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4"/>
      </w:rPr>
      <w:framePr w:wrap="around" w:vAnchor="text" w:hAnchor="margin" w:xAlign="center" w:y="1"/>
    </w:pPr>
    <w:r>
      <w:fldChar w:fldCharType="begin"/>
    </w:r>
    <w:r>
      <w:rPr>
        <w:rStyle w:val="944"/>
      </w:rPr>
      <w:instrText xml:space="preserve">PAGE  </w:instrTex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left"/>
      <w:tabs>
        <w:tab w:val="right" w:pos="8820" w:leader="none"/>
      </w:tabs>
      <w:rPr>
        <w:rFonts w:hint="eastAsia" w:ascii="宋体" w:hAnsi="宋体" w:eastAsia="宋体"/>
        <w:lang w:eastAsia="zh-CN"/>
      </w:rPr>
    </w:pPr>
    <w:r>
      <w:rPr>
        <w:rFonts w:hint="eastAsia" w:ascii="宋体" w:hAnsi="宋体"/>
      </w:rPr>
      <w:t xml:space="preserve">苏州骏捷建设管理咨询有限公司                                        采购编号：</w:t>
    </w:r>
    <w:r>
      <w:rPr>
        <w:rFonts w:hint="eastAsia" w:ascii="宋体" w:hAnsi="宋体"/>
        <w:lang w:eastAsia="zh-CN"/>
      </w:rPr>
      <w:t xml:space="preserve">JSZC-320500-SZJJ-C2025-0053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310" cy="2413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21640" cy="241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苏州骏捷建设管理咨询有限公司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japaneseCounting"/>
      <w:pStyle w:val="96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938"/>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755"/>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56"/>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57"/>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58"/>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59"/>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0"/>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2"/>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3"/>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Plain Text"/>
    <w:basedOn w:val="721"/>
    <w:uiPriority w:val="0"/>
    <w:qFormat/>
    <w:rPr>
      <w:rFonts w:ascii="宋体" w:hAnsi="Courier New" w:eastAsia="楷体_GB2312"/>
      <w:sz w:val="26"/>
      <w:szCs w:val="20"/>
    </w:rPr>
  </w:style>
  <w:style w:type="paragraph" w:styleId="738">
    <w:name w:val="toc 8"/>
    <w:basedOn w:val="721"/>
    <w:next w:val="721"/>
    <w:uiPriority w:val="39"/>
    <w:unhideWhenUsed/>
    <w:qFormat/>
    <w:pPr>
      <w:ind w:left="1984" w:right="0" w:firstLine="0"/>
      <w:spacing w:after="57"/>
    </w:pPr>
  </w:style>
  <w:style w:type="paragraph" w:styleId="739">
    <w:name w:val="endnote text"/>
    <w:basedOn w:val="721"/>
    <w:link w:val="901"/>
    <w:uiPriority w:val="99"/>
    <w:semiHidden/>
    <w:unhideWhenUsed/>
    <w:qFormat/>
    <w:pPr>
      <w:spacing w:after="0" w:line="240" w:lineRule="auto"/>
    </w:pPr>
    <w:rPr>
      <w:sz w:val="20"/>
    </w:rPr>
  </w:style>
  <w:style w:type="paragraph" w:styleId="740">
    <w:name w:val="Footer"/>
    <w:basedOn w:val="721"/>
    <w:link w:val="774"/>
    <w:uiPriority w:val="99"/>
    <w:unhideWhenUsed/>
    <w:qFormat/>
    <w:pPr>
      <w:spacing w:after="0" w:line="240" w:lineRule="auto"/>
      <w:tabs>
        <w:tab w:val="center" w:pos="7143" w:leader="none"/>
        <w:tab w:val="right" w:pos="14287" w:leader="none"/>
      </w:tabs>
    </w:pPr>
  </w:style>
  <w:style w:type="paragraph" w:styleId="741">
    <w:name w:val="Header"/>
    <w:basedOn w:val="721"/>
    <w:link w:val="772"/>
    <w:uiPriority w:val="99"/>
    <w:unhideWhenUsed/>
    <w:qFormat/>
    <w:pPr>
      <w:spacing w:after="0" w:line="240" w:lineRule="auto"/>
      <w:tabs>
        <w:tab w:val="center" w:pos="7143" w:leader="none"/>
        <w:tab w:val="right" w:pos="14287" w:leader="none"/>
      </w:tabs>
    </w:pPr>
  </w:style>
  <w:style w:type="paragraph" w:styleId="742">
    <w:name w:val="toc 1"/>
    <w:basedOn w:val="721"/>
    <w:next w:val="721"/>
    <w:uiPriority w:val="39"/>
    <w:unhideWhenUsed/>
    <w:qFormat/>
    <w:pPr>
      <w:ind w:left="0" w:right="0" w:firstLine="0"/>
      <w:spacing w:after="57"/>
    </w:pPr>
  </w:style>
  <w:style w:type="paragraph" w:styleId="743">
    <w:name w:val="toc 4"/>
    <w:basedOn w:val="721"/>
    <w:next w:val="721"/>
    <w:uiPriority w:val="39"/>
    <w:unhideWhenUsed/>
    <w:qFormat/>
    <w:pPr>
      <w:ind w:left="850" w:right="0" w:firstLine="0"/>
      <w:spacing w:after="57"/>
    </w:pPr>
  </w:style>
  <w:style w:type="paragraph" w:styleId="744">
    <w:name w:val="Subtitle"/>
    <w:basedOn w:val="721"/>
    <w:next w:val="721"/>
    <w:link w:val="767"/>
    <w:uiPriority w:val="11"/>
    <w:qFormat/>
    <w:pPr>
      <w:spacing w:before="200" w:after="200"/>
    </w:pPr>
    <w:rPr>
      <w:sz w:val="24"/>
      <w:szCs w:val="24"/>
    </w:rPr>
  </w:style>
  <w:style w:type="paragraph" w:styleId="745">
    <w:name w:val="footnote text"/>
    <w:basedOn w:val="721"/>
    <w:link w:val="900"/>
    <w:uiPriority w:val="99"/>
    <w:semiHidden/>
    <w:unhideWhenUsed/>
    <w:qFormat/>
    <w:pPr>
      <w:spacing w:after="40" w:line="240" w:lineRule="auto"/>
    </w:pPr>
    <w:rPr>
      <w:sz w:val="18"/>
    </w:rPr>
  </w:style>
  <w:style w:type="paragraph" w:styleId="746">
    <w:name w:val="toc 6"/>
    <w:basedOn w:val="721"/>
    <w:next w:val="721"/>
    <w:uiPriority w:val="39"/>
    <w:unhideWhenUsed/>
    <w:qFormat/>
    <w:pPr>
      <w:ind w:left="1417" w:right="0" w:firstLine="0"/>
      <w:spacing w:after="57"/>
    </w:pPr>
  </w:style>
  <w:style w:type="paragraph" w:styleId="747">
    <w:name w:val="table of figures"/>
    <w:basedOn w:val="721"/>
    <w:next w:val="721"/>
    <w:uiPriority w:val="99"/>
    <w:unhideWhenUsed/>
    <w:qFormat/>
    <w:pPr>
      <w:spacing w:after="0" w:afterAutospacing="0"/>
    </w:pPr>
  </w:style>
  <w:style w:type="paragraph" w:styleId="748">
    <w:name w:val="toc 2"/>
    <w:basedOn w:val="721"/>
    <w:next w:val="721"/>
    <w:uiPriority w:val="39"/>
    <w:unhideWhenUsed/>
    <w:qFormat/>
    <w:pPr>
      <w:ind w:left="283" w:right="0" w:firstLine="0"/>
      <w:spacing w:after="57"/>
    </w:pPr>
  </w:style>
  <w:style w:type="paragraph" w:styleId="749">
    <w:name w:val="toc 9"/>
    <w:basedOn w:val="721"/>
    <w:next w:val="721"/>
    <w:uiPriority w:val="39"/>
    <w:unhideWhenUsed/>
    <w:qFormat/>
    <w:pPr>
      <w:ind w:left="2268" w:right="0" w:firstLine="0"/>
      <w:spacing w:after="57"/>
    </w:pPr>
  </w:style>
  <w:style w:type="paragraph" w:styleId="750">
    <w:name w:val="Title"/>
    <w:basedOn w:val="721"/>
    <w:next w:val="721"/>
    <w:link w:val="766"/>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character" w:styleId="755" w:customStyle="1">
    <w:name w:val="Heading 1 Char"/>
    <w:link w:val="722"/>
    <w:uiPriority w:val="9"/>
    <w:qFormat/>
    <w:rPr>
      <w:rFonts w:ascii="Arial" w:hAnsi="Arial" w:eastAsia="Arial" w:cs="Arial"/>
      <w:sz w:val="40"/>
      <w:szCs w:val="40"/>
    </w:rPr>
  </w:style>
  <w:style w:type="character" w:styleId="756" w:customStyle="1">
    <w:name w:val="Heading 2 Char"/>
    <w:link w:val="723"/>
    <w:uiPriority w:val="9"/>
    <w:qFormat/>
    <w:rPr>
      <w:rFonts w:ascii="Arial" w:hAnsi="Arial" w:eastAsia="Arial" w:cs="Arial"/>
      <w:sz w:val="34"/>
    </w:rPr>
  </w:style>
  <w:style w:type="character" w:styleId="757" w:customStyle="1">
    <w:name w:val="Heading 3 Char"/>
    <w:link w:val="724"/>
    <w:uiPriority w:val="9"/>
    <w:qFormat/>
    <w:rPr>
      <w:rFonts w:ascii="Arial" w:hAnsi="Arial" w:eastAsia="Arial" w:cs="Arial"/>
      <w:sz w:val="30"/>
      <w:szCs w:val="30"/>
    </w:rPr>
  </w:style>
  <w:style w:type="character" w:styleId="758" w:customStyle="1">
    <w:name w:val="Heading 4 Char"/>
    <w:link w:val="725"/>
    <w:uiPriority w:val="9"/>
    <w:qFormat/>
    <w:rPr>
      <w:rFonts w:ascii="Arial" w:hAnsi="Arial" w:eastAsia="Arial" w:cs="Arial"/>
      <w:b/>
      <w:bCs/>
      <w:sz w:val="26"/>
      <w:szCs w:val="26"/>
    </w:rPr>
  </w:style>
  <w:style w:type="character" w:styleId="759" w:customStyle="1">
    <w:name w:val="Heading 5 Char"/>
    <w:link w:val="726"/>
    <w:uiPriority w:val="9"/>
    <w:qFormat/>
    <w:rPr>
      <w:rFonts w:ascii="Arial" w:hAnsi="Arial" w:eastAsia="Arial" w:cs="Arial"/>
      <w:b/>
      <w:bCs/>
      <w:sz w:val="24"/>
      <w:szCs w:val="24"/>
    </w:rPr>
  </w:style>
  <w:style w:type="character" w:styleId="760" w:customStyle="1">
    <w:name w:val="Heading 6 Char"/>
    <w:link w:val="727"/>
    <w:uiPriority w:val="9"/>
    <w:qFormat/>
    <w:rPr>
      <w:rFonts w:ascii="Arial" w:hAnsi="Arial" w:eastAsia="Arial" w:cs="Arial"/>
      <w:b/>
      <w:bCs/>
      <w:sz w:val="22"/>
      <w:szCs w:val="22"/>
    </w:rPr>
  </w:style>
  <w:style w:type="character" w:styleId="761" w:customStyle="1">
    <w:name w:val="Heading 7 Char"/>
    <w:link w:val="728"/>
    <w:uiPriority w:val="9"/>
    <w:qFormat/>
    <w:rPr>
      <w:rFonts w:ascii="Arial" w:hAnsi="Arial" w:eastAsia="Arial" w:cs="Arial"/>
      <w:b/>
      <w:bCs/>
      <w:i/>
      <w:iCs/>
      <w:sz w:val="22"/>
      <w:szCs w:val="22"/>
    </w:rPr>
  </w:style>
  <w:style w:type="character" w:styleId="762" w:customStyle="1">
    <w:name w:val="Heading 8 Char"/>
    <w:link w:val="729"/>
    <w:uiPriority w:val="9"/>
    <w:qFormat/>
    <w:rPr>
      <w:rFonts w:ascii="Arial" w:hAnsi="Arial" w:eastAsia="Arial" w:cs="Arial"/>
      <w:i/>
      <w:iCs/>
      <w:sz w:val="22"/>
      <w:szCs w:val="22"/>
    </w:rPr>
  </w:style>
  <w:style w:type="character" w:styleId="763" w:customStyle="1">
    <w:name w:val="Heading 9 Char"/>
    <w:link w:val="730"/>
    <w:uiPriority w:val="9"/>
    <w:qFormat/>
    <w:rPr>
      <w:rFonts w:ascii="Arial" w:hAnsi="Arial" w:eastAsia="Arial" w:cs="Arial"/>
      <w:i/>
      <w:iCs/>
      <w:sz w:val="21"/>
      <w:szCs w:val="21"/>
    </w:rPr>
  </w:style>
  <w:style w:type="paragraph" w:styleId="764">
    <w:name w:val="List Paragraph"/>
    <w:basedOn w:val="721"/>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50"/>
    <w:uiPriority w:val="10"/>
    <w:qFormat/>
    <w:rPr>
      <w:sz w:val="48"/>
      <w:szCs w:val="48"/>
    </w:rPr>
  </w:style>
  <w:style w:type="character" w:styleId="767" w:customStyle="1">
    <w:name w:val="Subtitle Char"/>
    <w:link w:val="744"/>
    <w:uiPriority w:val="11"/>
    <w:qFormat/>
    <w:rPr>
      <w:sz w:val="24"/>
      <w:szCs w:val="24"/>
    </w:rPr>
  </w:style>
  <w:style w:type="paragraph" w:styleId="768">
    <w:name w:val="Quote"/>
    <w:basedOn w:val="721"/>
    <w:next w:val="721"/>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21"/>
    <w:next w:val="721"/>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41"/>
    <w:uiPriority w:val="99"/>
    <w:qFormat/>
  </w:style>
  <w:style w:type="character" w:styleId="773" w:customStyle="1">
    <w:name w:val="Footer Char"/>
    <w:link w:val="740"/>
    <w:uiPriority w:val="99"/>
    <w:qFormat/>
  </w:style>
  <w:style w:type="character" w:styleId="774" w:customStyle="1">
    <w:name w:val="Caption Char"/>
    <w:link w:val="740"/>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5"/>
    <w:uiPriority w:val="99"/>
    <w:qFormat/>
    <w:rPr>
      <w:sz w:val="18"/>
    </w:rPr>
  </w:style>
  <w:style w:type="character" w:styleId="901" w:customStyle="1">
    <w:name w:val="Endnote Text Char"/>
    <w:link w:val="739"/>
    <w:uiPriority w:val="99"/>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21"/>
    <w:next w:val="721"/>
    <w:link w:val="910"/>
    <w:uiPriority w:val="0"/>
    <w:qFormat/>
    <w:pPr>
      <w:keepLines/>
      <w:keepNext/>
      <w:spacing w:before="340" w:after="330" w:line="578" w:lineRule="auto"/>
      <w:outlineLvl w:val="0"/>
    </w:pPr>
    <w:rPr>
      <w:b/>
      <w:bCs/>
      <w:sz w:val="44"/>
      <w:szCs w:val="44"/>
    </w:rPr>
  </w:style>
  <w:style w:type="paragraph" w:styleId="904" w:customStyle="1">
    <w:name w:val="标题 21"/>
    <w:basedOn w:val="721"/>
    <w:next w:val="721"/>
    <w:link w:val="911"/>
    <w:uiPriority w:val="0"/>
    <w:qFormat/>
    <w:pPr>
      <w:keepLines/>
      <w:keepNext/>
      <w:spacing w:before="260" w:after="260" w:line="416" w:lineRule="auto"/>
      <w:outlineLvl w:val="1"/>
    </w:pPr>
    <w:rPr>
      <w:rFonts w:ascii="Cambria" w:hAnsi="Cambria"/>
      <w:b/>
      <w:bCs/>
      <w:sz w:val="32"/>
      <w:szCs w:val="32"/>
    </w:rPr>
  </w:style>
  <w:style w:type="paragraph" w:styleId="905" w:customStyle="1">
    <w:name w:val="标题 31"/>
    <w:basedOn w:val="721"/>
    <w:next w:val="721"/>
    <w:link w:val="912"/>
    <w:uiPriority w:val="0"/>
    <w:qFormat/>
    <w:pPr>
      <w:keepLines/>
      <w:keepNext/>
      <w:spacing w:before="260" w:after="260" w:line="416" w:lineRule="auto"/>
      <w:outlineLvl w:val="2"/>
    </w:pPr>
    <w:rPr>
      <w:b/>
      <w:bCs/>
      <w:sz w:val="32"/>
      <w:szCs w:val="32"/>
    </w:rPr>
  </w:style>
  <w:style w:type="paragraph" w:styleId="906" w:customStyle="1">
    <w:name w:val="标题 41"/>
    <w:basedOn w:val="721"/>
    <w:next w:val="721"/>
    <w:link w:val="913"/>
    <w:uiPriority w:val="0"/>
    <w:qFormat/>
    <w:pPr>
      <w:keepNext/>
      <w:spacing w:before="240" w:after="60"/>
      <w:outlineLvl w:val="3"/>
    </w:pPr>
    <w:rPr>
      <w:b/>
      <w:bCs/>
      <w:sz w:val="28"/>
      <w:szCs w:val="28"/>
    </w:rPr>
  </w:style>
  <w:style w:type="paragraph" w:styleId="907" w:customStyle="1">
    <w:name w:val="标题 51"/>
    <w:basedOn w:val="721"/>
    <w:next w:val="721"/>
    <w:link w:val="914"/>
    <w:uiPriority w:val="0"/>
    <w:qFormat/>
    <w:pPr>
      <w:spacing w:before="240" w:after="60"/>
      <w:outlineLvl w:val="4"/>
    </w:pPr>
    <w:rPr>
      <w:b/>
      <w:bCs/>
      <w:i/>
      <w:iCs/>
      <w:sz w:val="26"/>
      <w:szCs w:val="26"/>
    </w:rPr>
  </w:style>
  <w:style w:type="character" w:styleId="908" w:customStyle="1">
    <w:name w:val="默认段落字体1"/>
    <w:link w:val="721"/>
    <w:uiPriority w:val="1"/>
    <w:unhideWhenUsed/>
    <w:qFormat/>
  </w:style>
  <w:style w:type="table" w:styleId="909" w:customStyle="1">
    <w:name w:val="普通表格1"/>
    <w:uiPriority w:val="99"/>
    <w:unhideWhenUsed/>
    <w:qFormat/>
    <w:tblPr/>
  </w:style>
  <w:style w:type="character" w:styleId="910" w:customStyle="1">
    <w:name w:val="标题 1 Char"/>
    <w:link w:val="903"/>
    <w:uiPriority w:val="0"/>
    <w:qFormat/>
    <w:rPr>
      <w:b/>
      <w:bCs/>
      <w:sz w:val="44"/>
      <w:szCs w:val="44"/>
    </w:rPr>
  </w:style>
  <w:style w:type="character" w:styleId="911" w:customStyle="1">
    <w:name w:val="标题 2 Char"/>
    <w:link w:val="904"/>
    <w:uiPriority w:val="0"/>
    <w:qFormat/>
    <w:rPr>
      <w:rFonts w:ascii="Cambria" w:hAnsi="Cambria"/>
      <w:b/>
      <w:bCs/>
      <w:sz w:val="32"/>
      <w:szCs w:val="32"/>
    </w:rPr>
  </w:style>
  <w:style w:type="character" w:styleId="912" w:customStyle="1">
    <w:name w:val="标题 3 Char"/>
    <w:link w:val="905"/>
    <w:uiPriority w:val="0"/>
    <w:qFormat/>
    <w:rPr>
      <w:b/>
      <w:bCs/>
      <w:sz w:val="32"/>
      <w:szCs w:val="32"/>
    </w:rPr>
  </w:style>
  <w:style w:type="character" w:styleId="913" w:customStyle="1">
    <w:name w:val="标题 4 Char"/>
    <w:link w:val="906"/>
    <w:uiPriority w:val="0"/>
    <w:qFormat/>
    <w:rPr>
      <w:rFonts w:eastAsia="宋体"/>
      <w:b/>
      <w:bCs/>
      <w:sz w:val="28"/>
      <w:szCs w:val="28"/>
      <w:lang w:val="en-US" w:eastAsia="zh-CN" w:bidi="ar-SA"/>
    </w:rPr>
  </w:style>
  <w:style w:type="character" w:styleId="914" w:customStyle="1">
    <w:name w:val="标题 5 Char"/>
    <w:link w:val="907"/>
    <w:uiPriority w:val="0"/>
    <w:qFormat/>
    <w:rPr>
      <w:rFonts w:eastAsia="宋体"/>
      <w:b/>
      <w:bCs/>
      <w:i/>
      <w:iCs/>
      <w:sz w:val="26"/>
      <w:szCs w:val="26"/>
      <w:lang w:val="en-US" w:eastAsia="zh-CN" w:bidi="ar-SA"/>
    </w:rPr>
  </w:style>
  <w:style w:type="paragraph" w:styleId="915" w:customStyle="1">
    <w:name w:val="正文缩进11"/>
    <w:basedOn w:val="721"/>
    <w:link w:val="916"/>
    <w:uiPriority w:val="0"/>
    <w:qFormat/>
    <w:pPr>
      <w:ind w:firstLine="420"/>
      <w:jc w:val="left"/>
      <w:widowControl/>
    </w:pPr>
    <w:rPr>
      <w:rFonts w:eastAsia="楷体_GB2312"/>
      <w:sz w:val="24"/>
      <w:szCs w:val="20"/>
    </w:rPr>
  </w:style>
  <w:style w:type="character" w:styleId="916" w:customStyle="1">
    <w:name w:val="正文缩进 Char"/>
    <w:link w:val="915"/>
    <w:uiPriority w:val="0"/>
    <w:qFormat/>
    <w:rPr>
      <w:rFonts w:eastAsia="楷体_GB2312"/>
      <w:sz w:val="24"/>
      <w:lang w:val="en-US" w:eastAsia="zh-CN" w:bidi="ar-SA"/>
    </w:rPr>
  </w:style>
  <w:style w:type="paragraph" w:styleId="917" w:customStyle="1">
    <w:name w:val="文档结构图1"/>
    <w:basedOn w:val="721"/>
    <w:uiPriority w:val="0"/>
    <w:semiHidden/>
    <w:qFormat/>
    <w:pPr>
      <w:shd w:val="clear" w:color="auto" w:fill="000080"/>
    </w:pPr>
  </w:style>
  <w:style w:type="paragraph" w:styleId="918" w:customStyle="1">
    <w:name w:val="批注文字1"/>
    <w:basedOn w:val="721"/>
    <w:link w:val="919"/>
    <w:uiPriority w:val="0"/>
    <w:semiHidden/>
    <w:qFormat/>
    <w:pPr>
      <w:jc w:val="left"/>
    </w:pPr>
  </w:style>
  <w:style w:type="character" w:styleId="919" w:customStyle="1">
    <w:name w:val="批注文字 Char"/>
    <w:link w:val="918"/>
    <w:uiPriority w:val="0"/>
    <w:qFormat/>
    <w:rPr>
      <w:rFonts w:eastAsia="宋体"/>
      <w:sz w:val="21"/>
      <w:szCs w:val="24"/>
      <w:lang w:val="en-US" w:eastAsia="zh-CN" w:bidi="ar-SA"/>
    </w:rPr>
  </w:style>
  <w:style w:type="paragraph" w:styleId="920" w:customStyle="1">
    <w:name w:val="正文文本1"/>
    <w:basedOn w:val="721"/>
    <w:next w:val="721"/>
    <w:uiPriority w:val="0"/>
    <w:qFormat/>
    <w:pPr>
      <w:spacing w:after="120"/>
    </w:pPr>
  </w:style>
  <w:style w:type="paragraph" w:styleId="921" w:customStyle="1">
    <w:name w:val="正文文本缩进1"/>
    <w:basedOn w:val="721"/>
    <w:next w:val="922"/>
    <w:uiPriority w:val="0"/>
    <w:qFormat/>
    <w:pPr>
      <w:ind w:left="420"/>
      <w:spacing w:after="120"/>
    </w:pPr>
  </w:style>
  <w:style w:type="paragraph" w:styleId="922" w:customStyle="1">
    <w:name w:val="寄信人地址1"/>
    <w:basedOn w:val="721"/>
    <w:uiPriority w:val="0"/>
    <w:qFormat/>
    <w:rPr>
      <w:rFonts w:ascii="Arial" w:hAnsi="Arial" w:eastAsia="楷体_GB2312"/>
      <w:sz w:val="26"/>
      <w:szCs w:val="20"/>
    </w:rPr>
  </w:style>
  <w:style w:type="paragraph" w:styleId="923" w:customStyle="1">
    <w:name w:val="文本块1"/>
    <w:basedOn w:val="721"/>
    <w:uiPriority w:val="0"/>
    <w:qFormat/>
    <w:pPr>
      <w:ind w:left="630" w:right="-609" w:firstLine="420"/>
      <w:spacing w:line="360" w:lineRule="auto"/>
    </w:pPr>
    <w:rPr>
      <w:rFonts w:hint="eastAsia" w:ascii="仿宋_GB2312" w:eastAsia="仿宋_GB2312"/>
      <w:szCs w:val="20"/>
    </w:rPr>
  </w:style>
  <w:style w:type="paragraph" w:styleId="924" w:customStyle="1">
    <w:name w:val="纯文本111"/>
    <w:basedOn w:val="721"/>
    <w:link w:val="925"/>
    <w:uiPriority w:val="0"/>
    <w:qFormat/>
    <w:pPr>
      <w:jc w:val="left"/>
      <w:widowControl/>
    </w:pPr>
    <w:rPr>
      <w:rFonts w:ascii="宋体" w:hAnsi="Courier New" w:eastAsia="楷体_GB2312"/>
      <w:sz w:val="26"/>
    </w:rPr>
  </w:style>
  <w:style w:type="character" w:styleId="925" w:customStyle="1">
    <w:name w:val="纯文本 Char"/>
    <w:link w:val="924"/>
    <w:uiPriority w:val="0"/>
    <w:qFormat/>
    <w:rPr>
      <w:rFonts w:ascii="宋体" w:hAnsi="Courier New" w:eastAsia="楷体_GB2312"/>
      <w:sz w:val="26"/>
      <w:szCs w:val="24"/>
      <w:lang w:val="en-US" w:eastAsia="zh-CN" w:bidi="ar-SA"/>
    </w:rPr>
  </w:style>
  <w:style w:type="paragraph" w:styleId="926" w:customStyle="1">
    <w:name w:val="日期1"/>
    <w:basedOn w:val="721"/>
    <w:next w:val="721"/>
    <w:link w:val="927"/>
    <w:uiPriority w:val="0"/>
    <w:qFormat/>
    <w:pPr>
      <w:ind w:left="100"/>
    </w:pPr>
    <w:rPr>
      <w:sz w:val="36"/>
      <w:szCs w:val="20"/>
    </w:rPr>
  </w:style>
  <w:style w:type="character" w:styleId="927" w:customStyle="1">
    <w:name w:val="日期 Char"/>
    <w:link w:val="926"/>
    <w:uiPriority w:val="0"/>
    <w:qFormat/>
    <w:rPr>
      <w:sz w:val="36"/>
      <w:lang w:bidi="ar-SA"/>
    </w:rPr>
  </w:style>
  <w:style w:type="paragraph" w:styleId="928" w:customStyle="1">
    <w:name w:val="正文文本缩进 21"/>
    <w:basedOn w:val="721"/>
    <w:uiPriority w:val="0"/>
    <w:qFormat/>
    <w:pPr>
      <w:ind w:left="420"/>
      <w:spacing w:after="120" w:line="480" w:lineRule="auto"/>
    </w:pPr>
  </w:style>
  <w:style w:type="paragraph" w:styleId="929" w:customStyle="1">
    <w:name w:val="批注框文本1"/>
    <w:basedOn w:val="721"/>
    <w:uiPriority w:val="0"/>
    <w:semiHidden/>
    <w:qFormat/>
    <w:rPr>
      <w:sz w:val="18"/>
      <w:szCs w:val="18"/>
    </w:rPr>
  </w:style>
  <w:style w:type="paragraph" w:styleId="930" w:customStyle="1">
    <w:name w:val="页脚1"/>
    <w:basedOn w:val="721"/>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semiHidden/>
    <w:qFormat/>
    <w:rPr>
      <w:rFonts w:eastAsia="宋体"/>
      <w:sz w:val="18"/>
      <w:szCs w:val="18"/>
      <w:lang w:val="en-US" w:eastAsia="zh-CN" w:bidi="ar-SA"/>
    </w:rPr>
  </w:style>
  <w:style w:type="paragraph" w:styleId="932" w:customStyle="1">
    <w:name w:val="页眉1"/>
    <w:basedOn w:val="721"/>
    <w:link w:val="933"/>
    <w:uiPriority w:val="99"/>
    <w:qFormat/>
    <w:pPr>
      <w:jc w:val="center"/>
      <w:tabs>
        <w:tab w:val="center" w:pos="4153" w:leader="none"/>
        <w:tab w:val="right" w:pos="8306" w:leader="none"/>
      </w:tabs>
      <w:pBdr>
        <w:bottom w:val="none" w:color="000000" w:sz="0" w:space="1"/>
      </w:pBdr>
    </w:pPr>
    <w:rPr>
      <w:sz w:val="18"/>
      <w:szCs w:val="18"/>
    </w:rPr>
  </w:style>
  <w:style w:type="character" w:styleId="933" w:customStyle="1">
    <w:name w:val="页眉 Char"/>
    <w:link w:val="932"/>
    <w:uiPriority w:val="99"/>
    <w:qFormat/>
    <w:rPr>
      <w:rFonts w:eastAsia="宋体"/>
      <w:sz w:val="18"/>
      <w:szCs w:val="18"/>
      <w:lang w:val="en-US" w:eastAsia="zh-CN" w:bidi="ar-SA"/>
    </w:rPr>
  </w:style>
  <w:style w:type="paragraph" w:styleId="934" w:customStyle="1">
    <w:name w:val="目录 11"/>
    <w:basedOn w:val="721"/>
    <w:next w:val="721"/>
    <w:uiPriority w:val="0"/>
    <w:semiHidden/>
    <w:qFormat/>
    <w:pPr>
      <w:jc w:val="left"/>
    </w:pPr>
    <w:rPr>
      <w:rFonts w:eastAsia="楷体_GB2312"/>
      <w:sz w:val="24"/>
      <w:szCs w:val="20"/>
    </w:rPr>
  </w:style>
  <w:style w:type="paragraph" w:styleId="935" w:customStyle="1">
    <w:name w:val="副标题1"/>
    <w:basedOn w:val="721"/>
    <w:next w:val="721"/>
    <w:uiPriority w:val="0"/>
    <w:qFormat/>
    <w:pPr>
      <w:jc w:val="center"/>
      <w:spacing w:before="240" w:after="60" w:line="312" w:lineRule="auto"/>
      <w:outlineLvl w:val="1"/>
    </w:pPr>
    <w:rPr>
      <w:rFonts w:ascii="宋体" w:hAnsi="Courier New" w:eastAsia="楷体_GB2312"/>
      <w:sz w:val="26"/>
      <w:szCs w:val="20"/>
    </w:rPr>
  </w:style>
  <w:style w:type="paragraph" w:styleId="936" w:customStyle="1">
    <w:name w:val="正文文本缩进 31"/>
    <w:basedOn w:val="721"/>
    <w:uiPriority w:val="0"/>
    <w:qFormat/>
    <w:pPr>
      <w:ind w:firstLine="480"/>
      <w:jc w:val="left"/>
      <w:spacing w:line="440" w:lineRule="atLeast"/>
    </w:pPr>
    <w:rPr>
      <w:sz w:val="24"/>
    </w:rPr>
  </w:style>
  <w:style w:type="paragraph" w:styleId="937" w:customStyle="1">
    <w:name w:val="普通(网站)1"/>
    <w:basedOn w:val="721"/>
    <w:uiPriority w:val="99"/>
    <w:qFormat/>
    <w:pPr>
      <w:jc w:val="left"/>
      <w:spacing w:before="100" w:beforeAutospacing="1" w:after="100" w:afterAutospacing="1"/>
      <w:widowControl/>
    </w:pPr>
    <w:rPr>
      <w:rFonts w:ascii="宋体" w:hAnsi="宋体" w:cs="宋体"/>
      <w:sz w:val="24"/>
    </w:rPr>
  </w:style>
  <w:style w:type="paragraph" w:styleId="938" w:customStyle="1">
    <w:name w:val="标题1"/>
    <w:basedOn w:val="721"/>
    <w:next w:val="721"/>
    <w:link w:val="939"/>
    <w:uiPriority w:val="0"/>
    <w:qFormat/>
    <w:pPr>
      <w:numPr>
        <w:ilvl w:val="0"/>
        <w:numId w:val="1"/>
      </w:numPr>
      <w:jc w:val="center"/>
      <w:spacing w:before="240" w:after="60"/>
      <w:tabs>
        <w:tab w:val="left" w:pos="432" w:leader="none"/>
      </w:tabs>
      <w:outlineLvl w:val="0"/>
    </w:pPr>
    <w:rPr>
      <w:rFonts w:ascii="Arial" w:hAnsi="Arial"/>
      <w:b/>
      <w:bCs/>
      <w:sz w:val="32"/>
      <w:szCs w:val="32"/>
    </w:rPr>
  </w:style>
  <w:style w:type="character" w:styleId="939" w:customStyle="1">
    <w:name w:val="标题 Char"/>
    <w:link w:val="938"/>
    <w:uiPriority w:val="0"/>
    <w:qFormat/>
    <w:rPr>
      <w:rFonts w:ascii="Arial" w:hAnsi="Arial"/>
      <w:b/>
      <w:bCs/>
      <w:sz w:val="32"/>
      <w:szCs w:val="32"/>
      <w:lang w:bidi="ar-SA"/>
    </w:rPr>
  </w:style>
  <w:style w:type="paragraph" w:styleId="940" w:customStyle="1">
    <w:name w:val="批注主题1"/>
    <w:basedOn w:val="918"/>
    <w:next w:val="918"/>
    <w:uiPriority w:val="0"/>
    <w:semiHidden/>
    <w:qFormat/>
    <w:rPr>
      <w:b/>
      <w:bCs/>
    </w:rPr>
  </w:style>
  <w:style w:type="paragraph" w:styleId="941" w:customStyle="1">
    <w:name w:val="正文首行缩进1"/>
    <w:basedOn w:val="920"/>
    <w:uiPriority w:val="0"/>
    <w:qFormat/>
    <w:pPr>
      <w:ind w:firstLine="420"/>
      <w:spacing w:after="0"/>
    </w:pPr>
    <w:rPr>
      <w:rFonts w:ascii="宋体" w:hAnsi="Calibri"/>
      <w:szCs w:val="20"/>
    </w:rPr>
  </w:style>
  <w:style w:type="paragraph" w:styleId="942"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character" w:styleId="943" w:customStyle="1">
    <w:name w:val="要点1"/>
    <w:link w:val="721"/>
    <w:uiPriority w:val="0"/>
    <w:qFormat/>
    <w:rPr>
      <w:b/>
      <w:bCs/>
    </w:rPr>
  </w:style>
  <w:style w:type="character" w:styleId="944" w:customStyle="1">
    <w:name w:val="页码1"/>
    <w:basedOn w:val="908"/>
    <w:link w:val="721"/>
    <w:uiPriority w:val="0"/>
    <w:qFormat/>
  </w:style>
  <w:style w:type="character" w:styleId="945" w:customStyle="1">
    <w:name w:val="已访问的超链接1"/>
    <w:basedOn w:val="908"/>
    <w:link w:val="721"/>
    <w:uiPriority w:val="0"/>
    <w:unhideWhenUsed/>
    <w:qFormat/>
    <w:rPr>
      <w:color w:val="333333"/>
      <w:u w:val="none"/>
    </w:rPr>
  </w:style>
  <w:style w:type="character" w:styleId="946" w:customStyle="1">
    <w:name w:val="强调1"/>
    <w:link w:val="721"/>
    <w:uiPriority w:val="0"/>
    <w:qFormat/>
    <w:rPr>
      <w:i/>
      <w:iCs/>
    </w:rPr>
  </w:style>
  <w:style w:type="character" w:styleId="947" w:customStyle="1">
    <w:name w:val="超链接1"/>
    <w:link w:val="721"/>
    <w:uiPriority w:val="0"/>
    <w:qFormat/>
    <w:rPr>
      <w:color w:val="000000"/>
      <w:u w:val="none"/>
    </w:rPr>
  </w:style>
  <w:style w:type="character" w:styleId="948" w:customStyle="1">
    <w:name w:val="批注引用1"/>
    <w:link w:val="721"/>
    <w:uiPriority w:val="0"/>
    <w:semiHidden/>
    <w:qFormat/>
    <w:rPr>
      <w:sz w:val="21"/>
      <w:szCs w:val="21"/>
    </w:rPr>
  </w:style>
  <w:style w:type="paragraph" w:styleId="949" w:customStyle="1">
    <w:name w:val="段"/>
    <w:next w:val="721"/>
    <w:uiPriority w:val="0"/>
    <w:qFormat/>
    <w:pPr>
      <w:ind w:firstLine="200"/>
      <w:jc w:val="both"/>
    </w:pPr>
    <w:rPr>
      <w:rFonts w:hint="default" w:ascii="宋体" w:hAnsi="Times New Roman" w:eastAsia="宋体" w:cs="Times New Roman"/>
      <w:sz w:val="21"/>
      <w:lang w:val="en-US" w:eastAsia="zh-CN" w:bidi="ar-SA"/>
    </w:rPr>
  </w:style>
  <w:style w:type="paragraph" w:styleId="950" w:customStyle="1">
    <w:name w:val="首行缩进"/>
    <w:basedOn w:val="721"/>
    <w:uiPriority w:val="0"/>
    <w:qFormat/>
    <w:pPr>
      <w:ind w:firstLine="480"/>
      <w:jc w:val="left"/>
      <w:spacing w:line="360" w:lineRule="auto"/>
    </w:pPr>
    <w:rPr>
      <w:rFonts w:ascii="宋体" w:hAnsi="宋体"/>
      <w:sz w:val="24"/>
    </w:rPr>
  </w:style>
  <w:style w:type="character" w:styleId="951" w:customStyle="1">
    <w:name w:val="+正文 Char3"/>
    <w:link w:val="952"/>
    <w:uiPriority w:val="0"/>
    <w:qFormat/>
    <w:rPr>
      <w:rFonts w:eastAsia="宋体"/>
      <w:sz w:val="24"/>
      <w:lang w:val="en-US" w:eastAsia="zh-CN" w:bidi="ar-SA"/>
    </w:rPr>
  </w:style>
  <w:style w:type="paragraph" w:styleId="952" w:customStyle="1">
    <w:name w:val="+正文"/>
    <w:basedOn w:val="721"/>
    <w:link w:val="951"/>
    <w:uiPriority w:val="0"/>
    <w:qFormat/>
    <w:pPr>
      <w:ind w:firstLine="200"/>
      <w:spacing w:line="360" w:lineRule="auto"/>
    </w:pPr>
    <w:rPr>
      <w:sz w:val="24"/>
      <w:szCs w:val="20"/>
    </w:rPr>
  </w:style>
  <w:style w:type="character" w:styleId="953" w:customStyle="1">
    <w:name w:val="Char Char8"/>
    <w:link w:val="721"/>
    <w:uiPriority w:val="0"/>
    <w:qFormat/>
    <w:rPr>
      <w:sz w:val="18"/>
    </w:rPr>
  </w:style>
  <w:style w:type="character" w:styleId="954" w:customStyle="1">
    <w:name w:val="文字正文主体 Char Char"/>
    <w:link w:val="955"/>
    <w:uiPriority w:val="0"/>
    <w:qFormat/>
    <w:rPr>
      <w:rFonts w:ascii="仿宋" w:hAnsi="仿宋" w:eastAsia="仿宋"/>
      <w:color w:val="3a3a3a"/>
      <w:sz w:val="28"/>
      <w:lang w:val="en-US" w:eastAsia="zh-CN" w:bidi="ar-SA"/>
    </w:rPr>
  </w:style>
  <w:style w:type="paragraph" w:styleId="955" w:customStyle="1">
    <w:name w:val="文字正文主体"/>
    <w:basedOn w:val="721"/>
    <w:link w:val="954"/>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6" w:customStyle="1">
    <w:name w:val="Char Char5"/>
    <w:link w:val="721"/>
    <w:uiPriority w:val="0"/>
    <w:qFormat/>
    <w:rPr>
      <w:sz w:val="24"/>
      <w:lang w:val="en-US" w:eastAsia="zh-CN"/>
    </w:rPr>
  </w:style>
  <w:style w:type="character" w:styleId="957" w:customStyle="1">
    <w:name w:val="Char Char11"/>
    <w:link w:val="721"/>
    <w:uiPriority w:val="0"/>
    <w:qFormat/>
    <w:rPr>
      <w:sz w:val="21"/>
    </w:rPr>
  </w:style>
  <w:style w:type="character" w:styleId="958" w:customStyle="1">
    <w:name w:val="c lh15"/>
    <w:basedOn w:val="908"/>
    <w:link w:val="721"/>
    <w:uiPriority w:val="0"/>
    <w:qFormat/>
  </w:style>
  <w:style w:type="character" w:styleId="959" w:customStyle="1">
    <w:name w:val="Plain Text Char Char"/>
    <w:link w:val="960"/>
    <w:uiPriority w:val="0"/>
    <w:qFormat/>
    <w:rPr>
      <w:rFonts w:ascii="宋体" w:hAnsi="Courier New" w:eastAsia="楷体_GB2312"/>
      <w:sz w:val="28"/>
    </w:rPr>
  </w:style>
  <w:style w:type="paragraph" w:styleId="960" w:customStyle="1">
    <w:name w:val="纯文本1"/>
    <w:basedOn w:val="721"/>
    <w:link w:val="959"/>
    <w:uiPriority w:val="0"/>
    <w:qFormat/>
    <w:rPr>
      <w:rFonts w:ascii="宋体" w:hAnsi="Courier New" w:eastAsia="楷体_GB2312"/>
      <w:sz w:val="28"/>
      <w:szCs w:val="20"/>
    </w:rPr>
  </w:style>
  <w:style w:type="paragraph" w:styleId="961" w:customStyle="1">
    <w:name w:val="Char Char Char Char Char Char Char Char Char1 Char Char Char Char"/>
    <w:basedOn w:val="917"/>
    <w:uiPriority w:val="0"/>
    <w:qFormat/>
    <w:pPr>
      <w:spacing w:line="360" w:lineRule="auto"/>
    </w:pPr>
    <w:rPr>
      <w:rFonts w:eastAsia="楷体_GB2312"/>
      <w:sz w:val="26"/>
      <w:szCs w:val="20"/>
    </w:rPr>
  </w:style>
  <w:style w:type="paragraph" w:styleId="962" w:customStyle="1">
    <w:name w:val="Char Char Char Char Char Char Char Char Char Char"/>
    <w:basedOn w:val="721"/>
    <w:uiPriority w:val="0"/>
    <w:qFormat/>
    <w:pPr>
      <w:numPr>
        <w:ilvl w:val="0"/>
        <w:numId w:val="2"/>
      </w:numPr>
    </w:pPr>
    <w:rPr>
      <w:sz w:val="24"/>
    </w:rPr>
  </w:style>
  <w:style w:type="paragraph" w:styleId="963" w:customStyle="1">
    <w:name w:val="Char Char Char Char Char Char Char Char Char1 Char"/>
    <w:basedOn w:val="917"/>
    <w:uiPriority w:val="0"/>
    <w:qFormat/>
    <w:pPr>
      <w:spacing w:line="360" w:lineRule="auto"/>
    </w:pPr>
    <w:rPr>
      <w:rFonts w:ascii="Tahoma" w:hAnsi="Tahoma"/>
      <w:sz w:val="24"/>
    </w:rPr>
  </w:style>
  <w:style w:type="paragraph" w:styleId="964" w:customStyle="1">
    <w:name w:val="Char Char Char"/>
    <w:basedOn w:val="917"/>
    <w:uiPriority w:val="0"/>
    <w:qFormat/>
    <w:pPr>
      <w:spacing w:line="360" w:lineRule="auto"/>
    </w:pPr>
    <w:rPr>
      <w:rFonts w:ascii="Tahoma" w:hAnsi="Tahoma"/>
      <w:sz w:val="24"/>
    </w:rPr>
  </w:style>
  <w:style w:type="paragraph" w:styleId="965" w:customStyle="1">
    <w:name w:val="Char Char Char Char"/>
    <w:basedOn w:val="917"/>
    <w:uiPriority w:val="0"/>
    <w:qFormat/>
    <w:pPr>
      <w:spacing w:line="360" w:lineRule="auto"/>
    </w:pPr>
    <w:rPr>
      <w:sz w:val="24"/>
      <w:szCs w:val="20"/>
    </w:rPr>
  </w:style>
  <w:style w:type="paragraph" w:styleId="966" w:customStyle="1">
    <w:name w:val="Char1 Char Char Char"/>
    <w:basedOn w:val="721"/>
    <w:uiPriority w:val="0"/>
    <w:qFormat/>
    <w:rPr>
      <w:rFonts w:ascii="Tahoma" w:hAnsi="Tahoma"/>
      <w:sz w:val="24"/>
      <w:szCs w:val="20"/>
    </w:rPr>
  </w:style>
  <w:style w:type="paragraph" w:styleId="967" w:customStyle="1">
    <w:name w:val="Char"/>
    <w:basedOn w:val="721"/>
    <w:uiPriority w:val="0"/>
    <w:qFormat/>
    <w:pPr>
      <w:ind w:left="420" w:hanging="420"/>
      <w:tabs>
        <w:tab w:val="left" w:pos="420" w:leader="none"/>
      </w:tabs>
    </w:pPr>
    <w:rPr>
      <w:sz w:val="24"/>
    </w:rPr>
  </w:style>
  <w:style w:type="paragraph" w:styleId="968" w:customStyle="1">
    <w:name w:val="正文2"/>
    <w:basedOn w:val="721"/>
    <w:uiPriority w:val="0"/>
    <w:qFormat/>
    <w:pPr>
      <w:ind w:firstLine="200"/>
      <w:jc w:val="left"/>
      <w:spacing w:after="160" w:line="360" w:lineRule="auto"/>
      <w:widowControl/>
    </w:pPr>
    <w:rPr>
      <w:rFonts w:ascii="Verdana" w:hAnsi="Verdana" w:eastAsia="黑体"/>
      <w:szCs w:val="20"/>
      <w:lang w:eastAsia="en-US"/>
    </w:rPr>
  </w:style>
  <w:style w:type="paragraph" w:styleId="969" w:customStyle="1">
    <w:name w:val="Char Char Char1 Char Char Char Char"/>
    <w:basedOn w:val="721"/>
    <w:uiPriority w:val="0"/>
    <w:qFormat/>
    <w:pPr>
      <w:jc w:val="left"/>
      <w:spacing w:after="160" w:line="240" w:lineRule="exact"/>
      <w:widowControl/>
    </w:pPr>
    <w:rPr>
      <w:sz w:val="24"/>
    </w:rPr>
  </w:style>
  <w:style w:type="paragraph" w:styleId="97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纯文本11"/>
    <w:basedOn w:val="721"/>
    <w:uiPriority w:val="0"/>
    <w:qFormat/>
    <w:rPr>
      <w:rFonts w:ascii="宋体" w:hAnsi="Courier New" w:eastAsia="楷体_GB2312"/>
      <w:sz w:val="28"/>
      <w:szCs w:val="20"/>
    </w:rPr>
  </w:style>
  <w:style w:type="character" w:styleId="972" w:customStyle="1">
    <w:name w:val="纯文本 Char1"/>
    <w:link w:val="721"/>
    <w:uiPriority w:val="0"/>
    <w:qFormat/>
    <w:rPr>
      <w:rFonts w:ascii="宋体" w:hAnsi="Courier New" w:eastAsia="楷体_GB2312"/>
      <w:sz w:val="24"/>
      <w:lang w:val="en-US" w:eastAsia="zh-CN" w:bidi="ar-SA"/>
    </w:rPr>
  </w:style>
  <w:style w:type="paragraph" w:styleId="973" w:customStyle="1">
    <w:name w:val="纯文本2"/>
    <w:basedOn w:val="721"/>
    <w:uiPriority w:val="0"/>
    <w:qFormat/>
    <w:rPr>
      <w:rFonts w:ascii="宋体" w:hAnsi="Courier New" w:eastAsia="楷体_GB2312"/>
      <w:sz w:val="26"/>
      <w:szCs w:val="20"/>
    </w:rPr>
  </w:style>
  <w:style w:type="character" w:styleId="974" w:customStyle="1">
    <w:name w:val="Plain Text Char"/>
    <w:link w:val="721"/>
    <w:uiPriority w:val="0"/>
    <w:qFormat/>
    <w:rPr>
      <w:rFonts w:ascii="宋体" w:hAnsi="Courier New" w:eastAsia="楷体_GB2312"/>
      <w:sz w:val="26"/>
      <w:lang w:val="en-US" w:eastAsia="zh-CN" w:bidi="ar-SA"/>
    </w:rPr>
  </w:style>
  <w:style w:type="paragraph" w:styleId="975" w:customStyle="1">
    <w:name w:val="修订1"/>
    <w:uiPriority w:val="99"/>
    <w:unhideWhenUsed/>
    <w:qFormat/>
    <w:rPr>
      <w:rFonts w:hint="default" w:ascii="Times New Roman" w:hAnsi="Times New Roman" w:eastAsia="宋体" w:cs="Times New Roman"/>
      <w:sz w:val="21"/>
      <w:szCs w:val="24"/>
      <w:lang w:val="en-US" w:eastAsia="zh-CN" w:bidi="ar-SA"/>
    </w:rPr>
  </w:style>
  <w:style w:type="character" w:styleId="976" w:customStyle="1">
    <w:name w:val="apple-converted-space"/>
    <w:basedOn w:val="908"/>
    <w:link w:val="721"/>
    <w:uiPriority w:val="0"/>
    <w:qFormat/>
  </w:style>
  <w:style w:type="paragraph" w:styleId="977" w:customStyle="1">
    <w:name w:val="p1"/>
    <w:basedOn w:val="721"/>
    <w:uiPriority w:val="0"/>
    <w:qFormat/>
    <w:pPr>
      <w:jc w:val="left"/>
      <w:spacing w:before="100" w:beforeAutospacing="1" w:after="100" w:afterAutospacing="1"/>
      <w:widowControl/>
    </w:pPr>
    <w:rPr>
      <w:rFonts w:ascii="宋体" w:hAnsi="宋体" w:cs="宋体"/>
      <w:sz w:val="24"/>
    </w:rPr>
  </w:style>
  <w:style w:type="paragraph" w:styleId="978" w:customStyle="1">
    <w:name w:val="p3"/>
    <w:basedOn w:val="721"/>
    <w:uiPriority w:val="0"/>
    <w:qFormat/>
    <w:pPr>
      <w:jc w:val="left"/>
      <w:spacing w:before="100" w:beforeAutospacing="1" w:after="100" w:afterAutospacing="1"/>
      <w:widowControl/>
    </w:pPr>
    <w:rPr>
      <w:rFonts w:ascii="宋体" w:hAnsi="宋体" w:cs="宋体"/>
      <w:sz w:val="24"/>
    </w:rPr>
  </w:style>
  <w:style w:type="character" w:styleId="979" w:customStyle="1">
    <w:name w:val="s6"/>
    <w:basedOn w:val="908"/>
    <w:link w:val="721"/>
    <w:uiPriority w:val="0"/>
    <w:qFormat/>
  </w:style>
  <w:style w:type="character" w:styleId="980" w:customStyle="1">
    <w:name w:val="s1"/>
    <w:basedOn w:val="908"/>
    <w:link w:val="721"/>
    <w:uiPriority w:val="0"/>
    <w:qFormat/>
  </w:style>
  <w:style w:type="character" w:styleId="981" w:customStyle="1">
    <w:name w:val="NormalCharacter1"/>
    <w:link w:val="721"/>
    <w:uiPriority w:val="0"/>
    <w:semiHidden/>
    <w:qFormat/>
  </w:style>
  <w:style w:type="paragraph" w:styleId="982" w:customStyle="1">
    <w:name w:val="列出段落"/>
    <w:basedOn w:val="721"/>
    <w:uiPriority w:val="99"/>
    <w:qFormat/>
    <w:pPr>
      <w:ind w:firstLine="420"/>
    </w:pPr>
  </w:style>
  <w:style w:type="character" w:styleId="983" w:customStyle="1">
    <w:name w:val="11"/>
    <w:link w:val="721"/>
    <w:uiPriority w:val="0"/>
    <w:qFormat/>
    <w:rPr>
      <w:rFonts w:hint="eastAsia" w:ascii="宋体" w:hAnsi="宋体" w:eastAsia="宋体"/>
      <w:sz w:val="18"/>
      <w:u w:val="none"/>
    </w:rPr>
  </w:style>
  <w:style w:type="paragraph" w:styleId="984" w:customStyle="1">
    <w:name w:val="Default"/>
    <w:uiPriority w:val="0"/>
    <w:unhideWhenUsed/>
    <w:qFormat/>
    <w:pPr>
      <w:widowControl w:val="off"/>
    </w:pPr>
    <w:rPr>
      <w:rFonts w:hint="eastAsia" w:ascii="宋体" w:hAnsi="宋体" w:eastAsia="宋体" w:cs="Times New Roman"/>
      <w:color w:val="000000"/>
      <w:sz w:val="24"/>
      <w:szCs w:val="22"/>
      <w:lang w:val="en-US" w:eastAsia="zh-CN" w:bidi="ar-SA"/>
    </w:rPr>
  </w:style>
  <w:style w:type="paragraph" w:styleId="985" w:customStyle="1">
    <w:name w:val="p2"/>
    <w:basedOn w:val="721"/>
    <w:uiPriority w:val="0"/>
    <w:qFormat/>
    <w:pPr>
      <w:jc w:val="left"/>
      <w:spacing w:before="100" w:beforeAutospacing="1" w:after="100" w:afterAutospacing="1"/>
      <w:widowControl/>
    </w:pPr>
    <w:rPr>
      <w:rFonts w:ascii="宋体" w:hAnsi="宋体" w:cs="宋体"/>
      <w:sz w:val="24"/>
    </w:rPr>
  </w:style>
  <w:style w:type="paragraph" w:styleId="986" w:customStyle="1">
    <w:name w:val="Plain Text1"/>
    <w:basedOn w:val="721"/>
    <w:uiPriority w:val="0"/>
    <w:qFormat/>
    <w:rPr>
      <w:rFonts w:ascii="宋体" w:hAnsi="Courier New"/>
    </w:rPr>
  </w:style>
  <w:style w:type="paragraph" w:styleId="987" w:customStyle="1">
    <w:name w:val="正文_0"/>
    <w:uiPriority w:val="0"/>
    <w:qFormat/>
    <w:pPr>
      <w:jc w:val="both"/>
      <w:widowControl w:val="off"/>
    </w:pPr>
    <w:rPr>
      <w:rFonts w:hint="default" w:ascii="Calibri" w:hAnsi="Calibri" w:eastAsia="宋体" w:cs="Times New Roman"/>
      <w:sz w:val="21"/>
      <w:szCs w:val="24"/>
      <w:lang w:val="en-US" w:eastAsia="zh-CN" w:bidi="ar-SA"/>
    </w:rPr>
  </w:style>
  <w:style w:type="paragraph" w:styleId="988" w:customStyle="1">
    <w:name w:val="Body text|1"/>
    <w:basedOn w:val="721"/>
    <w:uiPriority w:val="0"/>
    <w:qFormat/>
    <w:pPr>
      <w:ind w:firstLine="400"/>
      <w:spacing w:line="415" w:lineRule="auto"/>
      <w:shd w:val="clear" w:color="auto" w:fill="auto"/>
      <w:widowControl w:val="off"/>
    </w:pPr>
    <w:rPr>
      <w:rFonts w:ascii="宋体" w:hAnsi="宋体" w:eastAsia="宋体" w:cs="宋体"/>
      <w:color w:val="1a151d"/>
      <w:sz w:val="20"/>
      <w:szCs w:val="20"/>
      <w:u w:val="none"/>
      <w:shd w:val="clear" w:color="auto" w:fill="auto"/>
      <w:lang w:val="zh-CN" w:eastAsia="zh-CN" w:bidi="zh-CN"/>
    </w:rPr>
  </w:style>
  <w:style w:type="paragraph" w:styleId="989" w:customStyle="1">
    <w:name w:val="样式 (中文) 仿宋_GB2312 小四 行距: 1.5 倍行距"/>
    <w:basedOn w:val="721"/>
    <w:uiPriority w:val="0"/>
    <w:qFormat/>
    <w:pPr>
      <w:ind w:firstLine="200"/>
      <w:spacing w:line="360" w:lineRule="auto"/>
    </w:pPr>
    <w:rPr>
      <w:rFonts w:eastAsia="仿宋_GB2312" w:cs="宋体"/>
      <w:sz w:val="24"/>
      <w:szCs w:val="20"/>
    </w:rPr>
  </w:style>
  <w:style w:type="character" w:styleId="990" w:customStyle="1">
    <w:name w:val="font21"/>
    <w:basedOn w:val="908"/>
    <w:link w:val="721"/>
    <w:uiPriority w:val="0"/>
    <w:qFormat/>
    <w:rPr>
      <w:rFonts w:hint="eastAsia" w:ascii="宋体" w:hAnsi="宋体" w:eastAsia="宋体" w:cs="宋体"/>
      <w:color w:val="000000"/>
      <w:sz w:val="22"/>
      <w:szCs w:val="22"/>
      <w:u w:val="none"/>
    </w:rPr>
  </w:style>
  <w:style w:type="character" w:styleId="991" w:customStyle="1">
    <w:name w:val="font11"/>
    <w:basedOn w:val="908"/>
    <w:link w:val="721"/>
    <w:uiPriority w:val="0"/>
    <w:qFormat/>
    <w:rPr>
      <w:rFonts w:hint="eastAsia" w:ascii="宋体" w:hAnsi="宋体" w:eastAsia="宋体" w:cs="宋体"/>
      <w:color w:val="000000"/>
      <w:sz w:val="24"/>
      <w:szCs w:val="24"/>
      <w:u w:val="none"/>
    </w:rPr>
  </w:style>
  <w:style w:type="paragraph" w:styleId="992" w:customStyle="1">
    <w:name w:val="正文缩进1"/>
    <w:basedOn w:val="721"/>
    <w:next w:val="721"/>
    <w:uiPriority w:val="0"/>
    <w:qFormat/>
    <w:pPr>
      <w:ind w:firstLine="420"/>
      <w:jc w:val="left"/>
    </w:pPr>
    <w:rPr>
      <w:rFonts w:hAnsi="Times New Roman" w:eastAsia="楷体_GB2312"/>
      <w:sz w:val="24"/>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杨易</cp:lastModifiedBy>
  <cp:revision>17</cp:revision>
  <dcterms:created xsi:type="dcterms:W3CDTF">2021-02-26T01:25:00Z</dcterms:created>
  <dcterms:modified xsi:type="dcterms:W3CDTF">2025-12-24T06:40:40Z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eyJoZGlkIjoiNjk5YWI0ZjFmOGI2ZDc0MWExZjU4MTdjN2VmZTE0ZTgiLCJ1c2VySWQiOiIxMTU1MTIxNDc4In0=</vt:lpwstr>
  </property>
  <property fmtid="{D5CDD505-2E9C-101B-9397-08002B2CF9AE}" pid="3" name="KSOProductBuildVer">
    <vt:lpwstr>2052-12.1.0.24034</vt:lpwstr>
  </property>
  <property fmtid="{D5CDD505-2E9C-101B-9397-08002B2CF9AE}" pid="4" name="ICV">
    <vt:lpwstr>E5CB96A41E054332A8D414189E3D8E36_12</vt:lpwstr>
  </property>
</Properties>
</file>